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5E1" w:rsidRPr="009A4CDE" w:rsidRDefault="009A4CDE" w:rsidP="00AC55E1">
      <w:pPr>
        <w:jc w:val="center"/>
        <w:rPr>
          <w:rFonts w:ascii="Arial" w:hAnsi="Arial" w:cs="Arial"/>
          <w:b/>
          <w:sz w:val="24"/>
          <w:szCs w:val="24"/>
        </w:rPr>
      </w:pPr>
      <w:r w:rsidRPr="009A4CDE">
        <w:rPr>
          <w:rFonts w:ascii="Arial" w:hAnsi="Arial" w:cs="Arial"/>
          <w:b/>
          <w:sz w:val="24"/>
          <w:szCs w:val="24"/>
        </w:rPr>
        <w:t>TALLER ASINCRÓNICO DE LA MESA DE ESTUDIO No. 2. Excepciones previas y perentorias: “Sanear y Depurar”</w:t>
      </w:r>
    </w:p>
    <w:p w:rsidR="00AC55E1" w:rsidRPr="009A4CDE" w:rsidRDefault="00AC55E1" w:rsidP="00AC55E1">
      <w:pPr>
        <w:jc w:val="both"/>
        <w:rPr>
          <w:rFonts w:ascii="Arial" w:hAnsi="Arial" w:cs="Arial"/>
          <w:sz w:val="24"/>
          <w:szCs w:val="24"/>
        </w:rPr>
      </w:pPr>
      <w:r w:rsidRPr="009A4CDE">
        <w:rPr>
          <w:rFonts w:ascii="Arial" w:hAnsi="Arial" w:cs="Arial"/>
          <w:b/>
          <w:sz w:val="24"/>
          <w:szCs w:val="24"/>
        </w:rPr>
        <w:t>Caso 1.</w:t>
      </w:r>
      <w:r w:rsidRPr="009A4CDE">
        <w:rPr>
          <w:rFonts w:ascii="Arial" w:hAnsi="Arial" w:cs="Arial"/>
          <w:sz w:val="24"/>
          <w:szCs w:val="24"/>
        </w:rPr>
        <w:t xml:space="preserve"> En desarrollo de la audiencia inicial, Ramiro apoderado de la parte demandada en un proceso de reparación directa formuló incidente de nulidad. Alega que en la demanda no se expresó con precisión y claridad lo pretendido por el demandante y tampoco se formularon las pretensiones por separado lo que, a su juicio, no le permite ejercer en debida forma sus derechos de defensa y contradicción. En el expediente obra constancia secretarial de que Ramiro no contestó la demanda y tampoco propuso excepciones previas.</w:t>
      </w:r>
    </w:p>
    <w:p w:rsidR="00AC55E1" w:rsidRPr="009A4CDE" w:rsidRDefault="00AC55E1" w:rsidP="00AC55E1">
      <w:pPr>
        <w:jc w:val="both"/>
        <w:rPr>
          <w:rFonts w:ascii="Arial" w:hAnsi="Arial" w:cs="Arial"/>
          <w:sz w:val="24"/>
          <w:szCs w:val="24"/>
        </w:rPr>
      </w:pPr>
      <w:r w:rsidRPr="009A4CDE">
        <w:rPr>
          <w:rFonts w:ascii="Arial" w:hAnsi="Arial" w:cs="Arial"/>
          <w:b/>
          <w:sz w:val="24"/>
          <w:szCs w:val="24"/>
        </w:rPr>
        <w:t>Marco normativo.</w:t>
      </w:r>
      <w:r w:rsidRPr="009A4CDE">
        <w:rPr>
          <w:rFonts w:ascii="Arial" w:hAnsi="Arial" w:cs="Arial"/>
          <w:sz w:val="24"/>
          <w:szCs w:val="24"/>
        </w:rPr>
        <w:t xml:space="preserve"> Artículos 175, parágrafo 2, inciso 2, del CPACA. Artículos 43, numeral 2, 100 y 102 del CGP.</w:t>
      </w:r>
    </w:p>
    <w:p w:rsidR="00AC55E1" w:rsidRPr="009A4CDE" w:rsidRDefault="00AC55E1" w:rsidP="00AC55E1">
      <w:pPr>
        <w:jc w:val="both"/>
        <w:rPr>
          <w:rFonts w:ascii="Arial" w:hAnsi="Arial" w:cs="Arial"/>
          <w:sz w:val="24"/>
          <w:szCs w:val="24"/>
        </w:rPr>
      </w:pPr>
      <w:r w:rsidRPr="009A4CDE">
        <w:rPr>
          <w:rFonts w:ascii="Arial" w:hAnsi="Arial" w:cs="Arial"/>
          <w:b/>
          <w:sz w:val="24"/>
          <w:szCs w:val="24"/>
        </w:rPr>
        <w:t>Pregunta.</w:t>
      </w:r>
      <w:r w:rsidRPr="009A4CDE">
        <w:rPr>
          <w:rFonts w:ascii="Arial" w:hAnsi="Arial" w:cs="Arial"/>
          <w:sz w:val="24"/>
          <w:szCs w:val="24"/>
        </w:rPr>
        <w:t xml:space="preserve"> Si usted fuera el juzgador ¿Consideraría procedente dar trámite al incidente de nulidad formulado por Ramiro?</w:t>
      </w:r>
    </w:p>
    <w:p w:rsidR="001A3F78" w:rsidRPr="001A3F78" w:rsidRDefault="00AC55E1" w:rsidP="00AC55E1">
      <w:pPr>
        <w:jc w:val="both"/>
        <w:rPr>
          <w:rFonts w:ascii="Arial" w:hAnsi="Arial" w:cs="Arial"/>
          <w:sz w:val="24"/>
          <w:szCs w:val="24"/>
        </w:rPr>
      </w:pPr>
      <w:r w:rsidRPr="001A3F78">
        <w:rPr>
          <w:rFonts w:ascii="Arial" w:hAnsi="Arial" w:cs="Arial"/>
          <w:b/>
          <w:sz w:val="24"/>
          <w:szCs w:val="24"/>
        </w:rPr>
        <w:t xml:space="preserve">Respuesta: </w:t>
      </w:r>
      <w:r w:rsidR="009A4CDE" w:rsidRPr="001A3F78">
        <w:rPr>
          <w:rFonts w:ascii="Arial" w:hAnsi="Arial" w:cs="Arial"/>
          <w:sz w:val="24"/>
          <w:szCs w:val="24"/>
        </w:rPr>
        <w:t>Acorde con la situación fáctica expuesta rechaz</w:t>
      </w:r>
      <w:r w:rsidR="002176AB">
        <w:rPr>
          <w:rFonts w:ascii="Arial" w:hAnsi="Arial" w:cs="Arial"/>
          <w:sz w:val="24"/>
          <w:szCs w:val="24"/>
        </w:rPr>
        <w:t>aría</w:t>
      </w:r>
      <w:r w:rsidR="009A4CDE" w:rsidRPr="001A3F78">
        <w:rPr>
          <w:rFonts w:ascii="Arial" w:hAnsi="Arial" w:cs="Arial"/>
          <w:sz w:val="24"/>
          <w:szCs w:val="24"/>
        </w:rPr>
        <w:t xml:space="preserve"> por improcedente la solicitud de nulidad formulada por el apoderado judicial de la parte accionada, toda vez que </w:t>
      </w:r>
      <w:r w:rsidR="001A3F78" w:rsidRPr="001A3F78">
        <w:rPr>
          <w:rFonts w:ascii="Arial" w:hAnsi="Arial" w:cs="Arial"/>
          <w:sz w:val="24"/>
          <w:szCs w:val="24"/>
        </w:rPr>
        <w:t xml:space="preserve">el argumento bajo el cual sustenta la nulidad atañe a la </w:t>
      </w:r>
      <w:r w:rsidR="009A4CDE" w:rsidRPr="001A3F78">
        <w:rPr>
          <w:rFonts w:ascii="Arial" w:hAnsi="Arial" w:cs="Arial"/>
          <w:sz w:val="24"/>
          <w:szCs w:val="24"/>
        </w:rPr>
        <w:t xml:space="preserve">falta de precisión y claridad de las pretensiones </w:t>
      </w:r>
      <w:r w:rsidR="001A3F78" w:rsidRPr="001A3F78">
        <w:rPr>
          <w:rFonts w:ascii="Arial" w:hAnsi="Arial" w:cs="Arial"/>
          <w:sz w:val="24"/>
          <w:szCs w:val="24"/>
        </w:rPr>
        <w:t xml:space="preserve">de la demanda, es decir, considera que no cumplió con todos los requisitos de la demanda, por tanto, como primera oportunidad pudo recurrir el auto </w:t>
      </w:r>
      <w:proofErr w:type="spellStart"/>
      <w:r w:rsidR="001A3F78" w:rsidRPr="001A3F78">
        <w:rPr>
          <w:rFonts w:ascii="Arial" w:hAnsi="Arial" w:cs="Arial"/>
          <w:sz w:val="24"/>
          <w:szCs w:val="24"/>
        </w:rPr>
        <w:t>admisorio</w:t>
      </w:r>
      <w:proofErr w:type="spellEnd"/>
      <w:r w:rsidR="001A3F78" w:rsidRPr="001A3F78">
        <w:rPr>
          <w:rFonts w:ascii="Arial" w:hAnsi="Arial" w:cs="Arial"/>
          <w:sz w:val="24"/>
          <w:szCs w:val="24"/>
        </w:rPr>
        <w:t>, advert</w:t>
      </w:r>
      <w:r w:rsidR="002176AB">
        <w:rPr>
          <w:rFonts w:ascii="Arial" w:hAnsi="Arial" w:cs="Arial"/>
          <w:sz w:val="24"/>
          <w:szCs w:val="24"/>
        </w:rPr>
        <w:t>ir</w:t>
      </w:r>
      <w:r w:rsidR="001A3F78" w:rsidRPr="001A3F78">
        <w:rPr>
          <w:rFonts w:ascii="Arial" w:hAnsi="Arial" w:cs="Arial"/>
          <w:sz w:val="24"/>
          <w:szCs w:val="24"/>
        </w:rPr>
        <w:t xml:space="preserve"> dicho defecto</w:t>
      </w:r>
      <w:r w:rsidR="002176AB">
        <w:rPr>
          <w:rFonts w:ascii="Arial" w:hAnsi="Arial" w:cs="Arial"/>
          <w:sz w:val="24"/>
          <w:szCs w:val="24"/>
        </w:rPr>
        <w:t>;</w:t>
      </w:r>
      <w:r w:rsidR="001A3F78" w:rsidRPr="001A3F78">
        <w:rPr>
          <w:rFonts w:ascii="Arial" w:hAnsi="Arial" w:cs="Arial"/>
          <w:sz w:val="24"/>
          <w:szCs w:val="24"/>
        </w:rPr>
        <w:t xml:space="preserve"> como segunda oportunidad, le fue concedid</w:t>
      </w:r>
      <w:r w:rsidR="002176AB">
        <w:rPr>
          <w:rFonts w:ascii="Arial" w:hAnsi="Arial" w:cs="Arial"/>
          <w:sz w:val="24"/>
          <w:szCs w:val="24"/>
        </w:rPr>
        <w:t>o</w:t>
      </w:r>
      <w:r w:rsidR="001A3F78" w:rsidRPr="001A3F78">
        <w:rPr>
          <w:rFonts w:ascii="Arial" w:hAnsi="Arial" w:cs="Arial"/>
          <w:sz w:val="24"/>
          <w:szCs w:val="24"/>
        </w:rPr>
        <w:t xml:space="preserve"> durante el traslado de la demanda termino dentro del cual le era factible formular </w:t>
      </w:r>
      <w:r w:rsidR="009A4CDE" w:rsidRPr="001A3F78">
        <w:rPr>
          <w:rFonts w:ascii="Arial" w:hAnsi="Arial" w:cs="Arial"/>
          <w:sz w:val="24"/>
          <w:szCs w:val="24"/>
        </w:rPr>
        <w:t xml:space="preserve">la excepción previa </w:t>
      </w:r>
      <w:r w:rsidR="001A3F78" w:rsidRPr="001A3F78">
        <w:rPr>
          <w:rFonts w:ascii="Arial" w:hAnsi="Arial" w:cs="Arial"/>
          <w:sz w:val="24"/>
          <w:szCs w:val="24"/>
        </w:rPr>
        <w:t xml:space="preserve">contenida en el </w:t>
      </w:r>
      <w:r w:rsidR="009A4CDE" w:rsidRPr="001A3F78">
        <w:rPr>
          <w:rFonts w:ascii="Arial" w:hAnsi="Arial" w:cs="Arial"/>
          <w:sz w:val="24"/>
          <w:szCs w:val="24"/>
        </w:rPr>
        <w:t>artículo 100, n</w:t>
      </w:r>
      <w:r w:rsidR="001A3F78" w:rsidRPr="001A3F78">
        <w:rPr>
          <w:rFonts w:ascii="Arial" w:hAnsi="Arial" w:cs="Arial"/>
          <w:sz w:val="24"/>
          <w:szCs w:val="24"/>
        </w:rPr>
        <w:t>umeral 5, del CGP, esta es "</w:t>
      </w:r>
      <w:r w:rsidR="009A4CDE" w:rsidRPr="001A3F78">
        <w:rPr>
          <w:rFonts w:ascii="Arial" w:hAnsi="Arial" w:cs="Arial"/>
          <w:sz w:val="24"/>
          <w:szCs w:val="24"/>
        </w:rPr>
        <w:t xml:space="preserve"> ineptitud de la demanda por falta de los requisitos formales</w:t>
      </w:r>
      <w:r w:rsidR="001A3F78" w:rsidRPr="001A3F78">
        <w:rPr>
          <w:rFonts w:ascii="Arial" w:hAnsi="Arial" w:cs="Arial"/>
          <w:sz w:val="24"/>
          <w:szCs w:val="24"/>
        </w:rPr>
        <w:t>"</w:t>
      </w:r>
      <w:r w:rsidR="009A4CDE" w:rsidRPr="001A3F78">
        <w:rPr>
          <w:rFonts w:ascii="Arial" w:hAnsi="Arial" w:cs="Arial"/>
          <w:sz w:val="24"/>
          <w:szCs w:val="24"/>
        </w:rPr>
        <w:t xml:space="preserve">. </w:t>
      </w:r>
    </w:p>
    <w:p w:rsidR="009A4CDE" w:rsidRPr="00720E54" w:rsidRDefault="001A3F78" w:rsidP="00AC55E1">
      <w:pPr>
        <w:jc w:val="both"/>
        <w:rPr>
          <w:rFonts w:ascii="Arial" w:hAnsi="Arial" w:cs="Arial"/>
          <w:i/>
          <w:sz w:val="24"/>
          <w:szCs w:val="24"/>
        </w:rPr>
      </w:pPr>
      <w:r w:rsidRPr="00720E54">
        <w:rPr>
          <w:rFonts w:ascii="Arial" w:hAnsi="Arial" w:cs="Arial"/>
          <w:sz w:val="24"/>
          <w:szCs w:val="24"/>
        </w:rPr>
        <w:t xml:space="preserve">Así las cosas, atendiendo que la parte accionada </w:t>
      </w:r>
      <w:r w:rsidR="009A4CDE" w:rsidRPr="00720E54">
        <w:rPr>
          <w:rFonts w:ascii="Arial" w:hAnsi="Arial" w:cs="Arial"/>
          <w:sz w:val="24"/>
          <w:szCs w:val="24"/>
        </w:rPr>
        <w:t xml:space="preserve">no contestó la demanda ni propuso excepciones previas, </w:t>
      </w:r>
      <w:r w:rsidR="00720E54" w:rsidRPr="00720E54">
        <w:rPr>
          <w:rFonts w:ascii="Arial" w:hAnsi="Arial" w:cs="Arial"/>
          <w:sz w:val="24"/>
          <w:szCs w:val="24"/>
        </w:rPr>
        <w:t xml:space="preserve">la solicitud de nulidad deviene improcedente </w:t>
      </w:r>
      <w:r w:rsidR="00A7525E">
        <w:rPr>
          <w:rFonts w:ascii="Arial" w:hAnsi="Arial" w:cs="Arial"/>
          <w:sz w:val="24"/>
          <w:szCs w:val="24"/>
        </w:rPr>
        <w:t>conforme a</w:t>
      </w:r>
      <w:r w:rsidR="00720E54" w:rsidRPr="00720E54">
        <w:rPr>
          <w:rFonts w:ascii="Arial" w:hAnsi="Arial" w:cs="Arial"/>
          <w:sz w:val="24"/>
          <w:szCs w:val="24"/>
        </w:rPr>
        <w:t xml:space="preserve"> lo dispuesto en el a</w:t>
      </w:r>
      <w:r w:rsidR="009A4CDE" w:rsidRPr="00720E54">
        <w:rPr>
          <w:rFonts w:ascii="Arial" w:hAnsi="Arial" w:cs="Arial"/>
          <w:sz w:val="24"/>
          <w:szCs w:val="24"/>
        </w:rPr>
        <w:t xml:space="preserve">rtículo 102 </w:t>
      </w:r>
      <w:r w:rsidR="00720E54" w:rsidRPr="00720E54">
        <w:rPr>
          <w:rFonts w:ascii="Arial" w:hAnsi="Arial" w:cs="Arial"/>
          <w:sz w:val="24"/>
          <w:szCs w:val="24"/>
        </w:rPr>
        <w:t>del CGP el cual señala que los hechos que configuran excepciones previas no podrán ser alegadas como causal de nulidad por el demandante ni por el demandado por fuera de la oportunidad que previ</w:t>
      </w:r>
      <w:r w:rsidR="00A7525E">
        <w:rPr>
          <w:rFonts w:ascii="Arial" w:hAnsi="Arial" w:cs="Arial"/>
          <w:sz w:val="24"/>
          <w:szCs w:val="24"/>
        </w:rPr>
        <w:t>ó</w:t>
      </w:r>
      <w:r w:rsidR="00720E54" w:rsidRPr="00720E54">
        <w:rPr>
          <w:rFonts w:ascii="Arial" w:hAnsi="Arial" w:cs="Arial"/>
          <w:sz w:val="24"/>
          <w:szCs w:val="24"/>
        </w:rPr>
        <w:t xml:space="preserve"> el legislador para proponerlas, en concordancia con el </w:t>
      </w:r>
      <w:r w:rsidR="009A4CDE" w:rsidRPr="00720E54">
        <w:rPr>
          <w:rFonts w:ascii="Arial" w:hAnsi="Arial" w:cs="Arial"/>
          <w:sz w:val="24"/>
          <w:szCs w:val="24"/>
        </w:rPr>
        <w:t xml:space="preserve">133, parágrafo, </w:t>
      </w:r>
      <w:r w:rsidR="00720E54" w:rsidRPr="00720E54">
        <w:rPr>
          <w:rFonts w:ascii="Arial" w:hAnsi="Arial" w:cs="Arial"/>
          <w:sz w:val="24"/>
          <w:szCs w:val="24"/>
        </w:rPr>
        <w:t xml:space="preserve">ibídem, pues ordena que </w:t>
      </w:r>
      <w:r w:rsidR="009A4CDE" w:rsidRPr="00720E54">
        <w:rPr>
          <w:rFonts w:ascii="Arial" w:hAnsi="Arial" w:cs="Arial"/>
          <w:i/>
          <w:sz w:val="24"/>
          <w:szCs w:val="24"/>
        </w:rPr>
        <w:t>“Las demás irregularidades del proceso se tendrán por subsanadas si no se impugnan oportunamente por los mecanismos que este código establece.”</w:t>
      </w:r>
    </w:p>
    <w:p w:rsidR="008951FA" w:rsidRPr="009A4CDE" w:rsidRDefault="008951FA" w:rsidP="00720E54">
      <w:pPr>
        <w:jc w:val="both"/>
        <w:rPr>
          <w:rFonts w:ascii="Arial" w:hAnsi="Arial" w:cs="Arial"/>
          <w:sz w:val="24"/>
          <w:szCs w:val="24"/>
        </w:rPr>
      </w:pPr>
      <w:r w:rsidRPr="009A4CDE">
        <w:rPr>
          <w:rFonts w:ascii="Arial" w:hAnsi="Arial" w:cs="Arial"/>
          <w:b/>
          <w:sz w:val="24"/>
          <w:szCs w:val="24"/>
        </w:rPr>
        <w:t>Caso 2.</w:t>
      </w:r>
      <w:r w:rsidRPr="009A4CDE">
        <w:rPr>
          <w:rFonts w:ascii="Arial" w:hAnsi="Arial" w:cs="Arial"/>
          <w:sz w:val="24"/>
          <w:szCs w:val="24"/>
        </w:rPr>
        <w:t xml:space="preserve"> Lucía, Jueza Única Administrativa de Puerto Libertad, admitió demanda de nulidad y restablecimiento del derecho el 10 de junio de 2020. Entre los meses de junio y diciembre</w:t>
      </w:r>
      <w:r w:rsidR="00720E54">
        <w:rPr>
          <w:rFonts w:ascii="Arial" w:hAnsi="Arial" w:cs="Arial"/>
          <w:sz w:val="24"/>
          <w:szCs w:val="24"/>
        </w:rPr>
        <w:t xml:space="preserve"> </w:t>
      </w:r>
      <w:r w:rsidRPr="009A4CDE">
        <w:rPr>
          <w:rFonts w:ascii="Arial" w:hAnsi="Arial" w:cs="Arial"/>
          <w:sz w:val="24"/>
          <w:szCs w:val="24"/>
        </w:rPr>
        <w:t>de ese mismo año se agotó el trámite relativo al traslado de la demanda, su contestación y la formulación de las excepciones previas de falta de competencia por el factor cuantía e indebida acumulación de pretensiones. El 26 de enero de 2021 -no habiendo término que hubiere comenzado a correr, trámite o diligencia iniciada, recurso o incidente por resolver, audiencia convocada o pruebas por practicar- el secretario ingresó el proceso al despacho indicando que debía fijarse fecha y hora para llevar a cabo la audiencia inicial.</w:t>
      </w:r>
    </w:p>
    <w:p w:rsidR="008951FA" w:rsidRPr="009A4CDE" w:rsidRDefault="008951FA" w:rsidP="008951FA">
      <w:pPr>
        <w:jc w:val="both"/>
        <w:rPr>
          <w:rFonts w:ascii="Arial" w:hAnsi="Arial" w:cs="Arial"/>
          <w:sz w:val="24"/>
          <w:szCs w:val="24"/>
        </w:rPr>
      </w:pPr>
      <w:r w:rsidRPr="009A4CDE">
        <w:rPr>
          <w:rFonts w:ascii="Arial" w:hAnsi="Arial" w:cs="Arial"/>
          <w:b/>
          <w:sz w:val="24"/>
          <w:szCs w:val="24"/>
        </w:rPr>
        <w:t>Marco normativo.</w:t>
      </w:r>
      <w:r w:rsidRPr="009A4CDE">
        <w:rPr>
          <w:rFonts w:ascii="Arial" w:hAnsi="Arial" w:cs="Arial"/>
          <w:sz w:val="24"/>
          <w:szCs w:val="24"/>
        </w:rPr>
        <w:t xml:space="preserve"> Artículos 175, parágrafo 2, inciso 2 y 86 del CPACA. Artículo 101, inciso 3, numeral 2, del CGP.</w:t>
      </w:r>
    </w:p>
    <w:p w:rsidR="008951FA" w:rsidRPr="009A4CDE" w:rsidRDefault="008951FA" w:rsidP="008951FA">
      <w:pPr>
        <w:jc w:val="both"/>
        <w:rPr>
          <w:rFonts w:ascii="Arial" w:hAnsi="Arial" w:cs="Arial"/>
          <w:sz w:val="24"/>
          <w:szCs w:val="24"/>
        </w:rPr>
      </w:pPr>
      <w:r w:rsidRPr="009A4CDE">
        <w:rPr>
          <w:rFonts w:ascii="Arial" w:hAnsi="Arial" w:cs="Arial"/>
          <w:b/>
          <w:sz w:val="24"/>
          <w:szCs w:val="24"/>
        </w:rPr>
        <w:lastRenderedPageBreak/>
        <w:t>Marco jurisprudencial.</w:t>
      </w:r>
      <w:r w:rsidRPr="009A4CDE">
        <w:rPr>
          <w:rFonts w:ascii="Arial" w:hAnsi="Arial" w:cs="Arial"/>
          <w:sz w:val="24"/>
          <w:szCs w:val="24"/>
        </w:rPr>
        <w:t xml:space="preserve"> Consejo de Estado, Sección Segunda, Subsección B. Auto de 18 de mayo de 2021. Rad. 11001032500020140125000 (4045-2014).</w:t>
      </w:r>
    </w:p>
    <w:p w:rsidR="008951FA" w:rsidRPr="009A4CDE" w:rsidRDefault="008951FA" w:rsidP="008951FA">
      <w:pPr>
        <w:jc w:val="both"/>
        <w:rPr>
          <w:rFonts w:ascii="Arial" w:hAnsi="Arial" w:cs="Arial"/>
          <w:sz w:val="24"/>
          <w:szCs w:val="24"/>
        </w:rPr>
      </w:pPr>
      <w:r w:rsidRPr="009A4CDE">
        <w:rPr>
          <w:rFonts w:ascii="Arial" w:hAnsi="Arial" w:cs="Arial"/>
          <w:b/>
          <w:sz w:val="24"/>
          <w:szCs w:val="24"/>
        </w:rPr>
        <w:t>Pregunta.</w:t>
      </w:r>
      <w:r w:rsidRPr="009A4CDE">
        <w:rPr>
          <w:rFonts w:ascii="Arial" w:hAnsi="Arial" w:cs="Arial"/>
          <w:sz w:val="24"/>
          <w:szCs w:val="24"/>
        </w:rPr>
        <w:t xml:space="preserve"> Lucía, Jueza Única Administrativa de Puerto Libertad, ¿debe resolver las excepciones previas antes de la audiencia inicial, según la reforma introducida por la Ley 2080 de 2021 o debe convocar a audiencia inicial para resolver dichas excepciones, conforme al trámite de la Ley 1437 de 2011 (antes de la reforma introducida por la Ley 2080 de 2021)?</w:t>
      </w:r>
    </w:p>
    <w:p w:rsidR="00A47169" w:rsidRDefault="008951FA" w:rsidP="00A47169">
      <w:pPr>
        <w:jc w:val="both"/>
        <w:rPr>
          <w:rFonts w:ascii="Arial" w:eastAsia="Times New Roman" w:hAnsi="Arial" w:cs="Arial"/>
          <w:color w:val="333333"/>
          <w:sz w:val="25"/>
          <w:szCs w:val="25"/>
          <w:lang w:eastAsia="es-CO"/>
        </w:rPr>
      </w:pPr>
      <w:r w:rsidRPr="009A4CDE">
        <w:rPr>
          <w:rFonts w:ascii="Arial" w:hAnsi="Arial" w:cs="Arial"/>
          <w:b/>
          <w:sz w:val="24"/>
          <w:szCs w:val="24"/>
        </w:rPr>
        <w:t xml:space="preserve">Respuesta: </w:t>
      </w:r>
      <w:r w:rsidR="00A47169" w:rsidRPr="00A47169">
        <w:rPr>
          <w:rFonts w:ascii="Arial" w:hAnsi="Arial" w:cs="Arial"/>
          <w:sz w:val="24"/>
          <w:szCs w:val="24"/>
        </w:rPr>
        <w:t xml:space="preserve">Por disposición del artículo 86 de la ley 2080 de 2021, </w:t>
      </w:r>
      <w:r w:rsidR="00A47169" w:rsidRPr="00A47169">
        <w:rPr>
          <w:rFonts w:ascii="Arial" w:eastAsia="Times New Roman" w:hAnsi="Arial" w:cs="Arial"/>
          <w:color w:val="333333"/>
          <w:sz w:val="24"/>
          <w:szCs w:val="24"/>
          <w:lang w:eastAsia="es-CO"/>
        </w:rPr>
        <w:t xml:space="preserve">las reformas procesales introducidas en esta ley prevalecen sobre las anteriores normas de procedimiento desde el momento de su publicación y solo respecto de los procesos y trámites iniciados en vigencia de la Ley 1437 de 2011, </w:t>
      </w:r>
      <w:r w:rsidR="00A47169">
        <w:rPr>
          <w:rFonts w:ascii="Arial" w:eastAsia="Times New Roman" w:hAnsi="Arial" w:cs="Arial"/>
          <w:color w:val="333333"/>
          <w:sz w:val="24"/>
          <w:szCs w:val="24"/>
          <w:lang w:eastAsia="es-CO"/>
        </w:rPr>
        <w:t xml:space="preserve">no obstante, advierte que </w:t>
      </w:r>
      <w:r w:rsidR="00A47169" w:rsidRPr="00A47169">
        <w:rPr>
          <w:rFonts w:ascii="Arial" w:eastAsia="Times New Roman" w:hAnsi="Arial" w:cs="Arial"/>
          <w:color w:val="333333"/>
          <w:sz w:val="25"/>
          <w:szCs w:val="25"/>
          <w:lang w:eastAsia="es-CO"/>
        </w:rPr>
        <w:t>los recursos interpuestos, la práctica de pruebas decretadas, las audiencias convocadas, las diligencias iniciadas, los términos que hubieren comenzado a correr, los incidentes en curso y las notificaciones que se estén surtiendo, se regirán por las leyes vigentes cuando se interpusieron los recursos, se decretaron las pruebas, se iniciaron las audiencias o diligencias, empezaron a correr los términos, se promovieron los incidentes o comenzaron a surtirse las notificaciones.</w:t>
      </w:r>
    </w:p>
    <w:p w:rsidR="00A47169" w:rsidRDefault="00A47169" w:rsidP="008951FA">
      <w:pPr>
        <w:jc w:val="both"/>
        <w:rPr>
          <w:rFonts w:ascii="Arial" w:hAnsi="Arial" w:cs="Arial"/>
          <w:sz w:val="24"/>
          <w:szCs w:val="24"/>
        </w:rPr>
      </w:pPr>
      <w:r w:rsidRPr="00A47169">
        <w:rPr>
          <w:rFonts w:ascii="Arial" w:eastAsia="Times New Roman" w:hAnsi="Arial" w:cs="Arial"/>
          <w:color w:val="333333"/>
          <w:sz w:val="24"/>
          <w:szCs w:val="24"/>
          <w:lang w:eastAsia="es-CO"/>
        </w:rPr>
        <w:t xml:space="preserve">Sin embargo, como en el presente caso no se dan los supuestos fácticos que impiden aplicar las reformas procesales de la ley 2080 de 2021 a la Ley 1437 de 2011, pues tal como lo informa la nota secretarial y lo corrobora el despacho no hay </w:t>
      </w:r>
      <w:r w:rsidRPr="00A47169">
        <w:rPr>
          <w:rFonts w:ascii="Arial" w:hAnsi="Arial" w:cs="Arial"/>
          <w:sz w:val="24"/>
          <w:szCs w:val="24"/>
        </w:rPr>
        <w:t xml:space="preserve">término que hubiere comenzado a correr, trámite o diligencia iniciada, recurso o incidente por resolver ni audiencia convocada o pruebas por practicar- </w:t>
      </w:r>
      <w:r>
        <w:rPr>
          <w:rFonts w:ascii="Arial" w:hAnsi="Arial" w:cs="Arial"/>
          <w:sz w:val="24"/>
          <w:szCs w:val="24"/>
        </w:rPr>
        <w:t xml:space="preserve">debemos dar aplicación a </w:t>
      </w:r>
      <w:r w:rsidRPr="00A47169">
        <w:rPr>
          <w:rFonts w:ascii="Arial" w:eastAsia="Times New Roman" w:hAnsi="Arial" w:cs="Arial"/>
          <w:color w:val="333333"/>
          <w:sz w:val="24"/>
          <w:szCs w:val="24"/>
          <w:lang w:eastAsia="es-CO"/>
        </w:rPr>
        <w:t>las reformas procesales introducidas</w:t>
      </w:r>
      <w:r>
        <w:rPr>
          <w:rFonts w:ascii="Arial" w:eastAsia="Times New Roman" w:hAnsi="Arial" w:cs="Arial"/>
          <w:color w:val="333333"/>
          <w:sz w:val="24"/>
          <w:szCs w:val="24"/>
          <w:lang w:eastAsia="es-CO"/>
        </w:rPr>
        <w:t xml:space="preserve"> por la ley 2080 en mención, esto es, remitirnos </w:t>
      </w:r>
      <w:r w:rsidRPr="00A47169">
        <w:rPr>
          <w:rFonts w:ascii="Arial" w:hAnsi="Arial" w:cs="Arial"/>
          <w:sz w:val="24"/>
          <w:szCs w:val="24"/>
        </w:rPr>
        <w:t xml:space="preserve">al CGP en materia de formulación y decisión de excepciones previas (Artículo 175, parágrafo 2, inciso 3, del CPACA). </w:t>
      </w:r>
    </w:p>
    <w:p w:rsidR="00A47169" w:rsidRPr="00A47169" w:rsidRDefault="00A47169" w:rsidP="008951FA">
      <w:pPr>
        <w:jc w:val="both"/>
        <w:rPr>
          <w:rFonts w:ascii="Arial" w:hAnsi="Arial" w:cs="Arial"/>
          <w:sz w:val="24"/>
          <w:szCs w:val="24"/>
        </w:rPr>
      </w:pPr>
      <w:r>
        <w:rPr>
          <w:rFonts w:ascii="Arial" w:hAnsi="Arial" w:cs="Arial"/>
          <w:sz w:val="24"/>
          <w:szCs w:val="24"/>
        </w:rPr>
        <w:t xml:space="preserve">Ahora, establecido que </w:t>
      </w:r>
      <w:proofErr w:type="gramStart"/>
      <w:r>
        <w:rPr>
          <w:rFonts w:ascii="Arial" w:hAnsi="Arial" w:cs="Arial"/>
          <w:sz w:val="24"/>
          <w:szCs w:val="24"/>
        </w:rPr>
        <w:t xml:space="preserve">las excepciones </w:t>
      </w:r>
      <w:r w:rsidR="000F2AEF" w:rsidRPr="009A4CDE">
        <w:rPr>
          <w:rFonts w:ascii="Arial" w:hAnsi="Arial" w:cs="Arial"/>
          <w:sz w:val="24"/>
          <w:szCs w:val="24"/>
        </w:rPr>
        <w:t xml:space="preserve">de falta </w:t>
      </w:r>
      <w:r w:rsidR="000F2AEF">
        <w:rPr>
          <w:rFonts w:ascii="Arial" w:hAnsi="Arial" w:cs="Arial"/>
          <w:sz w:val="24"/>
          <w:szCs w:val="24"/>
        </w:rPr>
        <w:t xml:space="preserve">de </w:t>
      </w:r>
      <w:r w:rsidR="000F2AEF" w:rsidRPr="009A4CDE">
        <w:rPr>
          <w:rFonts w:ascii="Arial" w:hAnsi="Arial" w:cs="Arial"/>
          <w:sz w:val="24"/>
          <w:szCs w:val="24"/>
        </w:rPr>
        <w:t>competencia por el factor cuantía</w:t>
      </w:r>
      <w:proofErr w:type="gramEnd"/>
      <w:r w:rsidR="000F2AEF" w:rsidRPr="009A4CDE">
        <w:rPr>
          <w:rFonts w:ascii="Arial" w:hAnsi="Arial" w:cs="Arial"/>
          <w:sz w:val="24"/>
          <w:szCs w:val="24"/>
        </w:rPr>
        <w:t xml:space="preserve"> e indebida acumulación de pretensiones</w:t>
      </w:r>
      <w:r w:rsidR="000F2AEF" w:rsidRPr="00A47169">
        <w:rPr>
          <w:rFonts w:ascii="Arial" w:hAnsi="Arial" w:cs="Arial"/>
          <w:sz w:val="24"/>
          <w:szCs w:val="24"/>
        </w:rPr>
        <w:t xml:space="preserve"> </w:t>
      </w:r>
      <w:r w:rsidRPr="00A47169">
        <w:rPr>
          <w:rFonts w:ascii="Arial" w:hAnsi="Arial" w:cs="Arial"/>
          <w:sz w:val="24"/>
          <w:szCs w:val="24"/>
        </w:rPr>
        <w:t xml:space="preserve">que no requieren la práctica de pruebas </w:t>
      </w:r>
      <w:r w:rsidR="000F2AEF">
        <w:rPr>
          <w:rFonts w:ascii="Arial" w:hAnsi="Arial" w:cs="Arial"/>
          <w:sz w:val="24"/>
          <w:szCs w:val="24"/>
        </w:rPr>
        <w:t xml:space="preserve">corresponde a la juez </w:t>
      </w:r>
      <w:r w:rsidRPr="00A47169">
        <w:rPr>
          <w:rFonts w:ascii="Arial" w:hAnsi="Arial" w:cs="Arial"/>
          <w:sz w:val="24"/>
          <w:szCs w:val="24"/>
        </w:rPr>
        <w:t>res</w:t>
      </w:r>
      <w:r w:rsidR="000F2AEF">
        <w:rPr>
          <w:rFonts w:ascii="Arial" w:hAnsi="Arial" w:cs="Arial"/>
          <w:sz w:val="24"/>
          <w:szCs w:val="24"/>
        </w:rPr>
        <w:t xml:space="preserve">olverlas </w:t>
      </w:r>
      <w:r w:rsidRPr="00A47169">
        <w:rPr>
          <w:rFonts w:ascii="Arial" w:hAnsi="Arial" w:cs="Arial"/>
          <w:sz w:val="24"/>
          <w:szCs w:val="24"/>
        </w:rPr>
        <w:t xml:space="preserve">antes de la audiencia inicial </w:t>
      </w:r>
      <w:r w:rsidR="000F2AEF">
        <w:rPr>
          <w:rFonts w:ascii="Arial" w:hAnsi="Arial" w:cs="Arial"/>
          <w:sz w:val="24"/>
          <w:szCs w:val="24"/>
        </w:rPr>
        <w:t xml:space="preserve">por disposición del </w:t>
      </w:r>
      <w:r w:rsidRPr="00A47169">
        <w:rPr>
          <w:rFonts w:ascii="Arial" w:hAnsi="Arial" w:cs="Arial"/>
          <w:sz w:val="24"/>
          <w:szCs w:val="24"/>
        </w:rPr>
        <w:t>(artículo 101, numeral 2, del CGP).</w:t>
      </w:r>
    </w:p>
    <w:p w:rsidR="00D33521" w:rsidRPr="009A4CDE" w:rsidRDefault="00D33521" w:rsidP="00D33521">
      <w:pPr>
        <w:jc w:val="both"/>
        <w:rPr>
          <w:rFonts w:ascii="Arial" w:hAnsi="Arial" w:cs="Arial"/>
          <w:sz w:val="24"/>
          <w:szCs w:val="24"/>
        </w:rPr>
      </w:pPr>
      <w:r w:rsidRPr="009A4CDE">
        <w:rPr>
          <w:rFonts w:ascii="Arial" w:hAnsi="Arial" w:cs="Arial"/>
          <w:b/>
          <w:sz w:val="24"/>
          <w:szCs w:val="24"/>
        </w:rPr>
        <w:t>Caso 3.</w:t>
      </w:r>
      <w:r w:rsidRPr="009A4CDE">
        <w:rPr>
          <w:rFonts w:ascii="Arial" w:hAnsi="Arial" w:cs="Arial"/>
          <w:sz w:val="24"/>
          <w:szCs w:val="24"/>
        </w:rPr>
        <w:t xml:space="preserve"> Dentro de la oportunidad procesal prevista para ello, Fernando (apoderado de la demandada) contestó la demanda y, en escrito separado, formuló como excepción previa la de “ausencia de plausibilidad de la pretensión del demandante”.</w:t>
      </w:r>
    </w:p>
    <w:p w:rsidR="00D33521" w:rsidRPr="009A4CDE" w:rsidRDefault="00D33521" w:rsidP="00D33521">
      <w:pPr>
        <w:jc w:val="both"/>
        <w:rPr>
          <w:rFonts w:ascii="Arial" w:hAnsi="Arial" w:cs="Arial"/>
          <w:sz w:val="24"/>
          <w:szCs w:val="24"/>
        </w:rPr>
      </w:pPr>
      <w:r w:rsidRPr="009A4CDE">
        <w:rPr>
          <w:rFonts w:ascii="Arial" w:hAnsi="Arial" w:cs="Arial"/>
          <w:sz w:val="24"/>
          <w:szCs w:val="24"/>
        </w:rPr>
        <w:t>Explica que la formulación de excepciones previas es una expresión de los derechos de contradicción y defensa, por lo que el listado previsto en el artículo 100 del CGP no es taxativo y, en consecuencia, el juzgador debe estudiar en cada caso concreto las excepciones previas propuestas sin importar su denominación.</w:t>
      </w:r>
    </w:p>
    <w:p w:rsidR="00D33521" w:rsidRPr="009A4CDE" w:rsidRDefault="00D33521" w:rsidP="00D33521">
      <w:pPr>
        <w:jc w:val="both"/>
        <w:rPr>
          <w:rFonts w:ascii="Arial" w:hAnsi="Arial" w:cs="Arial"/>
          <w:sz w:val="24"/>
          <w:szCs w:val="24"/>
        </w:rPr>
      </w:pPr>
      <w:r w:rsidRPr="009A4CDE">
        <w:rPr>
          <w:rFonts w:ascii="Arial" w:hAnsi="Arial" w:cs="Arial"/>
          <w:b/>
          <w:sz w:val="24"/>
          <w:szCs w:val="24"/>
        </w:rPr>
        <w:t>Pregunta.</w:t>
      </w:r>
      <w:r w:rsidRPr="009A4CDE">
        <w:rPr>
          <w:rFonts w:ascii="Arial" w:hAnsi="Arial" w:cs="Arial"/>
          <w:sz w:val="24"/>
          <w:szCs w:val="24"/>
        </w:rPr>
        <w:t xml:space="preserve"> Si usted fuera el juzgador en este caso ¿Considera acertado el argumento de Fernando?</w:t>
      </w:r>
    </w:p>
    <w:p w:rsidR="00DA00A8" w:rsidRDefault="00D33521" w:rsidP="000F2AEF">
      <w:pPr>
        <w:jc w:val="both"/>
        <w:rPr>
          <w:rFonts w:ascii="Arial" w:hAnsi="Arial" w:cs="Arial"/>
          <w:sz w:val="24"/>
          <w:szCs w:val="24"/>
        </w:rPr>
      </w:pPr>
      <w:r w:rsidRPr="009A4CDE">
        <w:rPr>
          <w:rFonts w:ascii="Arial" w:hAnsi="Arial" w:cs="Arial"/>
          <w:b/>
          <w:sz w:val="24"/>
          <w:szCs w:val="24"/>
        </w:rPr>
        <w:t xml:space="preserve">Respuesta: </w:t>
      </w:r>
      <w:r w:rsidR="000F2AEF" w:rsidRPr="000F2AEF">
        <w:rPr>
          <w:rFonts w:ascii="Arial" w:hAnsi="Arial" w:cs="Arial"/>
          <w:sz w:val="24"/>
          <w:szCs w:val="24"/>
        </w:rPr>
        <w:t>Considero que no es acertado el argumento del profesional del derecho, pues sus argumentos más que un medio</w:t>
      </w:r>
      <w:r w:rsidR="000F2AEF" w:rsidRPr="000F2AEF">
        <w:rPr>
          <w:rFonts w:ascii="Arial" w:hAnsi="Arial" w:cs="Arial"/>
          <w:b/>
          <w:sz w:val="24"/>
          <w:szCs w:val="24"/>
        </w:rPr>
        <w:t xml:space="preserve"> </w:t>
      </w:r>
      <w:r w:rsidR="000F2AEF" w:rsidRPr="000F2AEF">
        <w:rPr>
          <w:rFonts w:ascii="Arial" w:hAnsi="Arial" w:cs="Arial"/>
          <w:bCs/>
          <w:iCs/>
          <w:color w:val="000000"/>
          <w:sz w:val="24"/>
          <w:szCs w:val="24"/>
        </w:rPr>
        <w:t>un medio exceptivo, constituye</w:t>
      </w:r>
      <w:r w:rsidR="007F6388">
        <w:rPr>
          <w:rFonts w:ascii="Arial" w:hAnsi="Arial" w:cs="Arial"/>
          <w:bCs/>
          <w:iCs/>
          <w:color w:val="000000"/>
          <w:sz w:val="24"/>
          <w:szCs w:val="24"/>
        </w:rPr>
        <w:t>n</w:t>
      </w:r>
      <w:r w:rsidR="000F2AEF" w:rsidRPr="000F2AEF">
        <w:rPr>
          <w:rFonts w:ascii="Arial" w:hAnsi="Arial" w:cs="Arial"/>
          <w:bCs/>
          <w:iCs/>
          <w:color w:val="000000"/>
          <w:sz w:val="24"/>
          <w:szCs w:val="24"/>
        </w:rPr>
        <w:t xml:space="preserve"> argumento</w:t>
      </w:r>
      <w:r w:rsidR="007F6388">
        <w:rPr>
          <w:rFonts w:ascii="Arial" w:hAnsi="Arial" w:cs="Arial"/>
          <w:bCs/>
          <w:iCs/>
          <w:color w:val="000000"/>
          <w:sz w:val="24"/>
          <w:szCs w:val="24"/>
        </w:rPr>
        <w:t>s</w:t>
      </w:r>
      <w:r w:rsidR="000F2AEF" w:rsidRPr="000F2AEF">
        <w:rPr>
          <w:rFonts w:ascii="Arial" w:hAnsi="Arial" w:cs="Arial"/>
          <w:bCs/>
          <w:iCs/>
          <w:color w:val="000000"/>
          <w:sz w:val="24"/>
          <w:szCs w:val="24"/>
        </w:rPr>
        <w:t xml:space="preserve"> de defensa, por </w:t>
      </w:r>
      <w:proofErr w:type="gramStart"/>
      <w:r w:rsidR="000F2AEF" w:rsidRPr="000F2AEF">
        <w:rPr>
          <w:rFonts w:ascii="Arial" w:hAnsi="Arial" w:cs="Arial"/>
          <w:bCs/>
          <w:iCs/>
          <w:color w:val="000000"/>
          <w:sz w:val="24"/>
          <w:szCs w:val="24"/>
        </w:rPr>
        <w:t>tanto</w:t>
      </w:r>
      <w:proofErr w:type="gramEnd"/>
      <w:r w:rsidR="000F2AEF" w:rsidRPr="000F2AEF">
        <w:rPr>
          <w:rFonts w:ascii="Arial" w:hAnsi="Arial" w:cs="Arial"/>
          <w:bCs/>
          <w:iCs/>
          <w:color w:val="000000"/>
          <w:sz w:val="24"/>
          <w:szCs w:val="24"/>
        </w:rPr>
        <w:t xml:space="preserve"> debe ser resuelta con el fondo de la litis </w:t>
      </w:r>
      <w:r w:rsidR="000F2AEF" w:rsidRPr="000F2AEF">
        <w:rPr>
          <w:rFonts w:ascii="Arial" w:hAnsi="Arial" w:cs="Arial"/>
          <w:sz w:val="24"/>
          <w:szCs w:val="24"/>
        </w:rPr>
        <w:t xml:space="preserve">y no </w:t>
      </w:r>
      <w:r w:rsidR="000F2AEF" w:rsidRPr="000F2AEF">
        <w:rPr>
          <w:rFonts w:ascii="Arial" w:hAnsi="Arial" w:cs="Arial"/>
          <w:sz w:val="24"/>
          <w:szCs w:val="24"/>
        </w:rPr>
        <w:lastRenderedPageBreak/>
        <w:t>como excepción previa propiamente dicha porque no lo es. Amén que el listado de las excepciones previas, previsto en el artículo 100 del C</w:t>
      </w:r>
      <w:r w:rsidR="00DA00A8">
        <w:rPr>
          <w:rFonts w:ascii="Arial" w:hAnsi="Arial" w:cs="Arial"/>
          <w:sz w:val="24"/>
          <w:szCs w:val="24"/>
        </w:rPr>
        <w:t xml:space="preserve">GP, tiene un carácter taxativo, luego entonces, al no encontrase la </w:t>
      </w:r>
      <w:r w:rsidR="000F2AEF" w:rsidRPr="000F2AEF">
        <w:rPr>
          <w:rFonts w:ascii="Arial" w:hAnsi="Arial" w:cs="Arial"/>
          <w:sz w:val="24"/>
          <w:szCs w:val="24"/>
        </w:rPr>
        <w:t xml:space="preserve">“ausencia de plausibilidad de la pretensión del demandante” </w:t>
      </w:r>
      <w:r w:rsidR="00DA00A8">
        <w:rPr>
          <w:rFonts w:ascii="Arial" w:hAnsi="Arial" w:cs="Arial"/>
          <w:sz w:val="24"/>
          <w:szCs w:val="24"/>
        </w:rPr>
        <w:t xml:space="preserve">enlistada en dicho artículo </w:t>
      </w:r>
      <w:r w:rsidR="000F2AEF" w:rsidRPr="000F2AEF">
        <w:rPr>
          <w:rFonts w:ascii="Arial" w:hAnsi="Arial" w:cs="Arial"/>
          <w:sz w:val="24"/>
          <w:szCs w:val="24"/>
        </w:rPr>
        <w:t xml:space="preserve">no </w:t>
      </w:r>
      <w:r w:rsidR="00DA00A8">
        <w:rPr>
          <w:rFonts w:ascii="Arial" w:hAnsi="Arial" w:cs="Arial"/>
          <w:sz w:val="24"/>
          <w:szCs w:val="24"/>
        </w:rPr>
        <w:t>constituye excepción</w:t>
      </w:r>
      <w:r w:rsidR="000F2AEF" w:rsidRPr="000F2AEF">
        <w:rPr>
          <w:rFonts w:ascii="Arial" w:hAnsi="Arial" w:cs="Arial"/>
          <w:sz w:val="24"/>
          <w:szCs w:val="24"/>
        </w:rPr>
        <w:t xml:space="preserve"> previ</w:t>
      </w:r>
      <w:r w:rsidR="00DA00A8">
        <w:rPr>
          <w:rFonts w:ascii="Arial" w:hAnsi="Arial" w:cs="Arial"/>
          <w:sz w:val="24"/>
          <w:szCs w:val="24"/>
        </w:rPr>
        <w:t>a</w:t>
      </w:r>
      <w:r w:rsidR="000F2AEF" w:rsidRPr="000F2AEF">
        <w:rPr>
          <w:rFonts w:ascii="Arial" w:hAnsi="Arial" w:cs="Arial"/>
          <w:sz w:val="24"/>
          <w:szCs w:val="24"/>
        </w:rPr>
        <w:t xml:space="preserve">, en consecuencia, no puede ser tramitada </w:t>
      </w:r>
      <w:r w:rsidR="00DA00A8">
        <w:rPr>
          <w:rFonts w:ascii="Arial" w:hAnsi="Arial" w:cs="Arial"/>
          <w:sz w:val="24"/>
          <w:szCs w:val="24"/>
        </w:rPr>
        <w:t>como excepción porque no lo es.</w:t>
      </w:r>
    </w:p>
    <w:p w:rsidR="009A4CDE" w:rsidRPr="009A4CDE" w:rsidRDefault="009A4CDE" w:rsidP="00D33521">
      <w:pPr>
        <w:jc w:val="both"/>
        <w:rPr>
          <w:rFonts w:ascii="Arial" w:hAnsi="Arial" w:cs="Arial"/>
          <w:sz w:val="24"/>
          <w:szCs w:val="24"/>
        </w:rPr>
      </w:pPr>
    </w:p>
    <w:p w:rsidR="009A4CDE" w:rsidRPr="009A4CDE" w:rsidRDefault="009A4CDE" w:rsidP="00D33521">
      <w:pPr>
        <w:jc w:val="both"/>
        <w:rPr>
          <w:rFonts w:ascii="Arial" w:hAnsi="Arial" w:cs="Arial"/>
          <w:sz w:val="24"/>
          <w:szCs w:val="24"/>
        </w:rPr>
      </w:pPr>
      <w:r w:rsidRPr="009A4CDE">
        <w:rPr>
          <w:rFonts w:ascii="Arial" w:hAnsi="Arial" w:cs="Arial"/>
          <w:sz w:val="24"/>
          <w:szCs w:val="24"/>
        </w:rPr>
        <w:t>Atentamente.</w:t>
      </w:r>
    </w:p>
    <w:p w:rsidR="009A4CDE" w:rsidRPr="009A4CDE" w:rsidRDefault="009A4CDE" w:rsidP="00D33521">
      <w:pPr>
        <w:jc w:val="both"/>
        <w:rPr>
          <w:rFonts w:ascii="Arial" w:hAnsi="Arial" w:cs="Arial"/>
          <w:sz w:val="24"/>
          <w:szCs w:val="24"/>
        </w:rPr>
      </w:pPr>
    </w:p>
    <w:p w:rsidR="00953A02" w:rsidRPr="00953A02" w:rsidRDefault="007F6388" w:rsidP="00953A02">
      <w:pPr>
        <w:spacing w:after="0" w:line="240" w:lineRule="auto"/>
        <w:jc w:val="both"/>
        <w:rPr>
          <w:rFonts w:ascii="Arial" w:hAnsi="Arial" w:cs="Arial"/>
          <w:b/>
          <w:sz w:val="24"/>
          <w:szCs w:val="24"/>
        </w:rPr>
      </w:pPr>
      <w:r>
        <w:rPr>
          <w:rFonts w:ascii="Arial" w:hAnsi="Arial" w:cs="Arial"/>
          <w:b/>
          <w:sz w:val="24"/>
          <w:szCs w:val="24"/>
        </w:rPr>
        <w:t xml:space="preserve">Carmen cecilia plata </w:t>
      </w:r>
      <w:bookmarkStart w:id="0" w:name="_GoBack"/>
      <w:bookmarkEnd w:id="0"/>
      <w:r>
        <w:rPr>
          <w:rFonts w:ascii="Arial" w:hAnsi="Arial" w:cs="Arial"/>
          <w:b/>
          <w:sz w:val="24"/>
          <w:szCs w:val="24"/>
        </w:rPr>
        <w:t>jimenez</w:t>
      </w:r>
    </w:p>
    <w:p w:rsidR="00953A02" w:rsidRPr="00953A02" w:rsidRDefault="00953A02" w:rsidP="00953A02">
      <w:pPr>
        <w:spacing w:after="0" w:line="240" w:lineRule="auto"/>
        <w:jc w:val="both"/>
        <w:rPr>
          <w:rFonts w:ascii="Arial" w:hAnsi="Arial" w:cs="Arial"/>
          <w:b/>
          <w:sz w:val="24"/>
          <w:szCs w:val="24"/>
        </w:rPr>
      </w:pPr>
      <w:r w:rsidRPr="00953A02">
        <w:rPr>
          <w:rFonts w:ascii="Arial" w:hAnsi="Arial" w:cs="Arial"/>
          <w:b/>
          <w:sz w:val="24"/>
          <w:szCs w:val="24"/>
        </w:rPr>
        <w:t>Mesa de trabajo No. 2</w:t>
      </w:r>
    </w:p>
    <w:p w:rsidR="009A4CDE" w:rsidRPr="00953A02" w:rsidRDefault="00953A02" w:rsidP="00953A02">
      <w:pPr>
        <w:spacing w:after="0" w:line="240" w:lineRule="auto"/>
        <w:jc w:val="both"/>
        <w:rPr>
          <w:rFonts w:ascii="Arial" w:hAnsi="Arial" w:cs="Arial"/>
          <w:b/>
          <w:sz w:val="24"/>
          <w:szCs w:val="24"/>
        </w:rPr>
      </w:pPr>
      <w:r w:rsidRPr="00953A02">
        <w:rPr>
          <w:rFonts w:ascii="Arial" w:hAnsi="Arial" w:cs="Arial"/>
          <w:b/>
          <w:sz w:val="24"/>
          <w:szCs w:val="24"/>
        </w:rPr>
        <w:t>Grupo</w:t>
      </w:r>
      <w:r w:rsidR="007F6388">
        <w:rPr>
          <w:rFonts w:ascii="Arial" w:hAnsi="Arial" w:cs="Arial"/>
          <w:b/>
          <w:sz w:val="24"/>
          <w:szCs w:val="24"/>
        </w:rPr>
        <w:t xml:space="preserve"> 30</w:t>
      </w:r>
      <w:r w:rsidR="009A4CDE" w:rsidRPr="00953A02">
        <w:rPr>
          <w:rFonts w:ascii="Arial" w:hAnsi="Arial" w:cs="Arial"/>
          <w:b/>
          <w:sz w:val="24"/>
          <w:szCs w:val="24"/>
        </w:rPr>
        <w:t xml:space="preserve"> </w:t>
      </w:r>
    </w:p>
    <w:p w:rsidR="009A4CDE" w:rsidRPr="009A4CDE" w:rsidRDefault="009A4CDE" w:rsidP="00953A02">
      <w:pPr>
        <w:spacing w:after="0"/>
        <w:jc w:val="both"/>
        <w:rPr>
          <w:rFonts w:ascii="Arial" w:hAnsi="Arial" w:cs="Arial"/>
          <w:sz w:val="24"/>
          <w:szCs w:val="24"/>
        </w:rPr>
      </w:pPr>
    </w:p>
    <w:sectPr w:rsidR="009A4CDE" w:rsidRPr="009A4CDE" w:rsidSect="00720E5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yNza3NDA0s7S0NDM2NbJU0lEKTi0uzszPAykwrAUAa8gasCwAAAA="/>
  </w:docVars>
  <w:rsids>
    <w:rsidRoot w:val="00AC55E1"/>
    <w:rsid w:val="000F2AEF"/>
    <w:rsid w:val="001A3F78"/>
    <w:rsid w:val="002176AB"/>
    <w:rsid w:val="00241BDA"/>
    <w:rsid w:val="00720E54"/>
    <w:rsid w:val="007F6388"/>
    <w:rsid w:val="0084226E"/>
    <w:rsid w:val="008951FA"/>
    <w:rsid w:val="00953A02"/>
    <w:rsid w:val="009A4CDE"/>
    <w:rsid w:val="00A47169"/>
    <w:rsid w:val="00A7525E"/>
    <w:rsid w:val="00AC55E1"/>
    <w:rsid w:val="00D33521"/>
    <w:rsid w:val="00DA00A8"/>
    <w:rsid w:val="00F82C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2B2A"/>
  <w15:docId w15:val="{5F241D94-89D0-4FC9-8D74-A51F8F40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5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7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2039E-E527-404C-B0C9-855AA994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986</Words>
  <Characters>5626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ASUS</cp:lastModifiedBy>
  <cp:revision>5</cp:revision>
  <dcterms:created xsi:type="dcterms:W3CDTF">2021-09-06T03:46:00Z</dcterms:created>
  <dcterms:modified xsi:type="dcterms:W3CDTF">2021-09-06T03:50:00Z</dcterms:modified>
</cp:coreProperties>
</file>