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688E66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514BD3">
        <w:rPr>
          <w:rFonts w:ascii="Arial" w:eastAsia="Calibri" w:hAnsi="Arial" w:cs="Arial"/>
          <w:lang w:val="es-MX"/>
        </w:rPr>
        <w:t xml:space="preserve"> Elvia Raquel Barón Sánchez</w:t>
      </w:r>
    </w:p>
    <w:p w14:paraId="5F7DBDD4" w14:textId="46206D5F"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514BD3">
        <w:rPr>
          <w:rFonts w:ascii="Arial" w:hAnsi="Arial" w:cs="Arial"/>
          <w:lang w:val="es-MX"/>
        </w:rPr>
        <w:t xml:space="preserve"> 5 de septiembre de 2021</w:t>
      </w:r>
    </w:p>
    <w:p w14:paraId="75E84AC6" w14:textId="1D52E7A6"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14BD3">
        <w:rPr>
          <w:rFonts w:ascii="Arial" w:hAnsi="Arial" w:cs="Arial"/>
          <w:lang w:val="es-MX"/>
        </w:rPr>
        <w:t>Repetición</w:t>
      </w:r>
    </w:p>
    <w:p w14:paraId="6B89892F" w14:textId="18CB75A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14BD3">
        <w:rPr>
          <w:rFonts w:ascii="Arial" w:hAnsi="Arial" w:cs="Arial"/>
          <w:lang w:val="es-MX"/>
        </w:rPr>
        <w:t xml:space="preserve"> Universidad Popular del Cesar</w:t>
      </w:r>
    </w:p>
    <w:p w14:paraId="1660C8A3" w14:textId="2F6B38A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14BD3">
        <w:rPr>
          <w:rFonts w:ascii="Arial" w:hAnsi="Arial" w:cs="Arial"/>
          <w:lang w:val="es-MX"/>
        </w:rPr>
        <w:t xml:space="preserve"> Raúl Enrique Maya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5E04C219" w:rsidR="00FE6B43"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77971145" w14:textId="797E7C40" w:rsidR="00514BD3" w:rsidRDefault="00514BD3" w:rsidP="000F105D">
            <w:pPr>
              <w:pStyle w:val="Sinespaciado"/>
              <w:rPr>
                <w:rFonts w:ascii="Arial" w:eastAsia="Calibri" w:hAnsi="Arial" w:cs="Arial"/>
                <w:lang w:val="es-MX"/>
              </w:rPr>
            </w:pPr>
          </w:p>
          <w:p w14:paraId="04718A95" w14:textId="08423289" w:rsidR="00514BD3" w:rsidRPr="00514BD3" w:rsidRDefault="00514BD3" w:rsidP="00514BD3">
            <w:pPr>
              <w:pStyle w:val="Sinespaciado"/>
              <w:jc w:val="both"/>
              <w:rPr>
                <w:rFonts w:ascii="Arial" w:eastAsia="Calibri" w:hAnsi="Arial" w:cs="Arial"/>
                <w:b/>
                <w:bCs/>
                <w:lang w:val="es-MX"/>
              </w:rPr>
            </w:pPr>
            <w:r w:rsidRPr="00514BD3">
              <w:rPr>
                <w:rFonts w:ascii="Arial" w:eastAsia="Calibri" w:hAnsi="Arial" w:cs="Arial"/>
                <w:b/>
                <w:bCs/>
                <w:lang w:val="es-MX"/>
              </w:rPr>
              <w:t>Respuesta: El término de traslado de la demanda se encuentra vencido y no hay excepciones pendientes por resolver</w:t>
            </w:r>
            <w:r w:rsidR="003F1287">
              <w:rPr>
                <w:rFonts w:ascii="Arial" w:eastAsia="Calibri" w:hAnsi="Arial" w:cs="Arial"/>
                <w:b/>
                <w:bCs/>
                <w:lang w:val="es-MX"/>
              </w:rPr>
              <w:t>.</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C5EC4FF"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2B87378">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DC99B" w14:textId="77777777" w:rsidR="00514BD3" w:rsidRPr="00514BD3" w:rsidRDefault="00514BD3" w:rsidP="00514BD3">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6" style="position:absolute;left:0;text-align:left;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gcAIAACA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" fillcolor="white [3201]" strokecolor="#70ad47 [3209]" strokeweight="1pt">
                      <v:textbox>
                        <w:txbxContent>
                          <w:p w14:paraId="116DC99B" w14:textId="77777777" w:rsidR="00514BD3" w:rsidRPr="00514BD3" w:rsidRDefault="00514BD3" w:rsidP="00514BD3">
                            <w:pPr>
                              <w:jc w:val="center"/>
                              <w:rPr>
                                <w:lang w:val="es-ES"/>
                              </w:rP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w:t>
            </w:r>
            <w:proofErr w:type="gramStart"/>
            <w:r w:rsidRPr="001F2D25">
              <w:rPr>
                <w:rFonts w:ascii="Arial" w:hAnsi="Arial" w:cs="Arial"/>
                <w:i/>
              </w:rPr>
              <w:t xml:space="preserve">desconocimiento; </w:t>
            </w:r>
            <w:r w:rsidR="00514BD3">
              <w:rPr>
                <w:rFonts w:ascii="Arial" w:hAnsi="Arial" w:cs="Arial"/>
                <w:i/>
              </w:rPr>
              <w:t xml:space="preserve">  </w:t>
            </w:r>
            <w:proofErr w:type="gramEnd"/>
            <w:r w:rsidR="00514BD3">
              <w:rPr>
                <w:rFonts w:ascii="Arial" w:hAnsi="Arial" w:cs="Arial"/>
                <w:i/>
              </w:rPr>
              <w:t xml:space="preserve">    </w:t>
            </w:r>
            <w:r w:rsidRPr="001F2D25">
              <w:rPr>
                <w:rFonts w:ascii="Arial" w:hAnsi="Arial" w:cs="Arial"/>
                <w:i/>
              </w:rPr>
              <w:t> </w:t>
            </w:r>
            <w:r w:rsidR="00514BD3">
              <w:rPr>
                <w:rFonts w:ascii="Arial" w:hAnsi="Arial" w:cs="Arial"/>
                <w:i/>
              </w:rPr>
              <w:t xml:space="preserve">  X</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0193CE05" w:rsidR="00D75A67" w:rsidRDefault="00D75A67" w:rsidP="00D75A67">
            <w:pPr>
              <w:pStyle w:val="Sinespaciado"/>
              <w:jc w:val="both"/>
              <w:rPr>
                <w:rFonts w:ascii="Arial" w:eastAsia="Calibri" w:hAnsi="Arial" w:cs="Arial"/>
                <w:lang w:val="es-MX"/>
              </w:rPr>
            </w:pPr>
          </w:p>
          <w:p w14:paraId="1E5350CA" w14:textId="77B7AECF" w:rsidR="00514BD3" w:rsidRPr="00EB164D" w:rsidRDefault="00514BD3" w:rsidP="00D75A67">
            <w:pPr>
              <w:pStyle w:val="Sinespaciado"/>
              <w:jc w:val="both"/>
              <w:rPr>
                <w:rFonts w:ascii="Arial" w:eastAsia="Calibri" w:hAnsi="Arial" w:cs="Arial"/>
                <w:b/>
                <w:bCs/>
                <w:lang w:val="es-MX"/>
              </w:rPr>
            </w:pPr>
            <w:r w:rsidRPr="00EB164D">
              <w:rPr>
                <w:rFonts w:ascii="Arial" w:eastAsia="Calibri" w:hAnsi="Arial" w:cs="Arial"/>
                <w:b/>
                <w:bCs/>
                <w:lang w:val="es-MX"/>
              </w:rPr>
              <w:t xml:space="preserve">Respuesta: </w:t>
            </w:r>
            <w:r w:rsidR="00EB164D" w:rsidRPr="00EB164D">
              <w:rPr>
                <w:rFonts w:ascii="Arial" w:eastAsia="Calibri" w:hAnsi="Arial" w:cs="Arial"/>
                <w:b/>
                <w:bCs/>
                <w:lang w:val="es-MX"/>
              </w:rPr>
              <w:t xml:space="preserve">Se </w:t>
            </w:r>
            <w:r w:rsidR="003F1287">
              <w:rPr>
                <w:rFonts w:ascii="Arial" w:eastAsia="Calibri" w:hAnsi="Arial" w:cs="Arial"/>
                <w:b/>
                <w:bCs/>
                <w:lang w:val="es-MX"/>
              </w:rPr>
              <w:t>profiere</w:t>
            </w:r>
            <w:r w:rsidR="00EB164D" w:rsidRPr="00EB164D">
              <w:rPr>
                <w:rFonts w:ascii="Arial" w:eastAsia="Calibri" w:hAnsi="Arial" w:cs="Arial"/>
                <w:b/>
                <w:bCs/>
                <w:lang w:val="es-MX"/>
              </w:rPr>
              <w:t xml:space="preserve"> auto en el que se decide sobre las pruebas allegadas y también puede fijarse el objeto del litigio.</w:t>
            </w:r>
            <w:r w:rsidR="003F1287">
              <w:rPr>
                <w:rFonts w:ascii="Arial" w:eastAsia="Calibri" w:hAnsi="Arial" w:cs="Arial"/>
                <w:b/>
                <w:bCs/>
                <w:lang w:val="es-MX"/>
              </w:rPr>
              <w:t xml:space="preserve"> Se indican las razones por las cuales se dictará sentencia anticipada. Se procede a notificar la decisión a las partes</w:t>
            </w:r>
          </w:p>
          <w:p w14:paraId="601512C9" w14:textId="77777777" w:rsidR="00EB164D" w:rsidRPr="001F2D25" w:rsidRDefault="00EB164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37E8136" w:rsidR="004430DA" w:rsidRDefault="004430DA" w:rsidP="00222D4A">
            <w:pPr>
              <w:pStyle w:val="Sinespaciado"/>
              <w:rPr>
                <w:rFonts w:ascii="Arial" w:eastAsia="Calibri" w:hAnsi="Arial" w:cs="Arial"/>
                <w:lang w:val="es-MX"/>
              </w:rPr>
            </w:pPr>
          </w:p>
          <w:p w14:paraId="472FC670" w14:textId="561D57FF" w:rsidR="00EB164D" w:rsidRPr="00EB164D" w:rsidRDefault="00EB164D" w:rsidP="00222D4A">
            <w:pPr>
              <w:pStyle w:val="Sinespaciado"/>
              <w:rPr>
                <w:rFonts w:ascii="Arial" w:eastAsia="Calibri" w:hAnsi="Arial" w:cs="Arial"/>
                <w:b/>
                <w:bCs/>
                <w:lang w:val="es-MX"/>
              </w:rPr>
            </w:pPr>
            <w:r w:rsidRPr="00EB164D">
              <w:rPr>
                <w:rFonts w:ascii="Arial" w:eastAsia="Calibri" w:hAnsi="Arial" w:cs="Arial"/>
                <w:b/>
                <w:bCs/>
                <w:lang w:val="es-MX"/>
              </w:rPr>
              <w:t xml:space="preserve">Respuesta: </w:t>
            </w:r>
            <w:r w:rsidR="003F1287">
              <w:rPr>
                <w:rFonts w:ascii="Arial" w:eastAsia="Calibri" w:hAnsi="Arial" w:cs="Arial"/>
                <w:b/>
                <w:bCs/>
                <w:lang w:val="es-MX"/>
              </w:rPr>
              <w:t>Luego de notificado el auto anterior, se proyecta auto corriendo traslado a las partes para alegar de conclusión.</w:t>
            </w:r>
          </w:p>
          <w:p w14:paraId="75A4EE7F" w14:textId="77777777" w:rsidR="00EB164D" w:rsidRPr="001F2D25" w:rsidRDefault="00EB164D"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4F2E34AD" w:rsidR="00E42B7C" w:rsidRPr="00EB164D" w:rsidRDefault="00EB164D" w:rsidP="00DE6DCB">
            <w:pPr>
              <w:pStyle w:val="Sinespaciado"/>
              <w:jc w:val="both"/>
              <w:rPr>
                <w:rFonts w:ascii="Arial" w:eastAsia="Calibri" w:hAnsi="Arial" w:cs="Arial"/>
                <w:b/>
                <w:bCs/>
                <w:iCs/>
                <w:lang w:val="es-MX"/>
              </w:rPr>
            </w:pPr>
            <w:r>
              <w:rPr>
                <w:rFonts w:ascii="Arial" w:eastAsia="Calibri" w:hAnsi="Arial" w:cs="Arial"/>
                <w:b/>
                <w:bCs/>
                <w:iCs/>
                <w:lang w:val="es-MX"/>
              </w:rPr>
              <w:t xml:space="preserve">Respuesta: </w:t>
            </w:r>
            <w:r w:rsidRPr="00EB164D">
              <w:rPr>
                <w:rFonts w:ascii="Arial" w:eastAsia="Calibri" w:hAnsi="Arial" w:cs="Arial"/>
                <w:b/>
                <w:bCs/>
                <w:iCs/>
                <w:lang w:val="es-MX"/>
              </w:rPr>
              <w:t xml:space="preserve">En el caso, las partes no presentaron solicitud se sentencia anticipada. Dado que se configura </w:t>
            </w:r>
            <w:r w:rsidRPr="00EB164D">
              <w:rPr>
                <w:rFonts w:ascii="Arial" w:hAnsi="Arial" w:cs="Arial"/>
                <w:b/>
                <w:bCs/>
              </w:rPr>
              <w:t xml:space="preserve">la hipótesis del literal c del artículo 42 de la Ley 2080 de 2021 (que adicionó el artículo 182A al CPACA) </w:t>
            </w:r>
            <w:r>
              <w:rPr>
                <w:rFonts w:ascii="Arial" w:hAnsi="Arial" w:cs="Arial"/>
                <w:b/>
                <w:bCs/>
              </w:rPr>
              <w:t>se adecúa el trámite para</w:t>
            </w:r>
            <w:r w:rsidRPr="00EB164D">
              <w:rPr>
                <w:rFonts w:ascii="Arial" w:hAnsi="Arial" w:cs="Arial"/>
                <w:b/>
                <w:bCs/>
              </w:rPr>
              <w:t xml:space="preserve"> sentencia anticipada, toda vez que la parte demandante únicamente allegó pruebas documentales y la curadora ad litem del demandado indicó que </w:t>
            </w:r>
            <w:r w:rsidRPr="00EB164D">
              <w:rPr>
                <w:rFonts w:ascii="Arial" w:hAnsi="Arial" w:cs="Arial"/>
                <w:b/>
                <w:bCs/>
                <w:i/>
              </w:rPr>
              <w:t>“me acojo a las pruebas aportadas por la actora y que obran en el proceso”</w:t>
            </w:r>
            <w:r>
              <w:rPr>
                <w:rFonts w:ascii="Arial" w:hAnsi="Arial" w:cs="Arial"/>
                <w:b/>
                <w:bCs/>
                <w:i/>
              </w:rPr>
              <w:t>.</w:t>
            </w: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419A9" w14:textId="77777777" w:rsidR="0039700A" w:rsidRDefault="0039700A">
      <w:pPr>
        <w:spacing w:after="0" w:line="240" w:lineRule="auto"/>
      </w:pPr>
      <w:r>
        <w:separator/>
      </w:r>
    </w:p>
  </w:endnote>
  <w:endnote w:type="continuationSeparator" w:id="0">
    <w:p w14:paraId="1A337FE7" w14:textId="77777777" w:rsidR="0039700A" w:rsidRDefault="00397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970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970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DCA9" w14:textId="77777777" w:rsidR="0039700A" w:rsidRDefault="0039700A">
      <w:pPr>
        <w:spacing w:after="0" w:line="240" w:lineRule="auto"/>
      </w:pPr>
      <w:r>
        <w:separator/>
      </w:r>
    </w:p>
  </w:footnote>
  <w:footnote w:type="continuationSeparator" w:id="0">
    <w:p w14:paraId="1BCA61C6" w14:textId="77777777" w:rsidR="0039700A" w:rsidRDefault="00397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9700A"/>
    <w:rsid w:val="003A0FA3"/>
    <w:rsid w:val="003B379B"/>
    <w:rsid w:val="003F1287"/>
    <w:rsid w:val="00407892"/>
    <w:rsid w:val="004430DA"/>
    <w:rsid w:val="00462075"/>
    <w:rsid w:val="004C270A"/>
    <w:rsid w:val="00514BD3"/>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164D"/>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1050</Words>
  <Characters>5779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Raquel Barón</cp:lastModifiedBy>
  <cp:revision>2</cp:revision>
  <dcterms:created xsi:type="dcterms:W3CDTF">2021-09-05T22:53:00Z</dcterms:created>
  <dcterms:modified xsi:type="dcterms:W3CDTF">2021-09-05T22:53:00Z</dcterms:modified>
</cp:coreProperties>
</file>