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789E8416" w:rsidR="00B713D2" w:rsidRPr="001F2D25" w:rsidRDefault="00ED4ECD" w:rsidP="00B713D2">
      <w:pPr>
        <w:pStyle w:val="Sinespaciado"/>
        <w:ind w:left="-1134"/>
        <w:rPr>
          <w:rFonts w:ascii="Arial" w:hAnsi="Arial" w:cs="Arial"/>
          <w:lang w:val="es-MX"/>
        </w:rPr>
      </w:pPr>
      <w:r w:rsidRPr="001F2D25">
        <w:rPr>
          <w:rFonts w:ascii="Arial" w:eastAsia="Calibri" w:hAnsi="Arial" w:cs="Arial"/>
          <w:lang w:val="es-MX"/>
        </w:rPr>
        <w:t>Elaborada por:</w:t>
      </w:r>
      <w:r w:rsidR="001F58C1">
        <w:rPr>
          <w:rFonts w:ascii="Arial" w:eastAsia="Calibri" w:hAnsi="Arial" w:cs="Arial"/>
          <w:lang w:val="es-MX"/>
        </w:rPr>
        <w:t xml:space="preserve"> </w:t>
      </w:r>
      <w:r w:rsidR="001F58C1" w:rsidRPr="001F58C1">
        <w:rPr>
          <w:rFonts w:ascii="Arial" w:eastAsia="Calibri" w:hAnsi="Arial" w:cs="Arial"/>
          <w:b/>
          <w:bCs/>
          <w:lang w:val="es-MX"/>
        </w:rPr>
        <w:t>CARLOS FERNANDO MOSQUERA MELO</w:t>
      </w:r>
    </w:p>
    <w:p w14:paraId="5F7DBDD4" w14:textId="157C217C" w:rsidR="00ED4ECD" w:rsidRPr="001F2D25" w:rsidRDefault="00B713D2" w:rsidP="00B713D2">
      <w:pPr>
        <w:pStyle w:val="Sinespaciado"/>
        <w:ind w:left="-1134"/>
        <w:rPr>
          <w:rFonts w:ascii="Arial" w:hAnsi="Arial" w:cs="Arial"/>
          <w:lang w:val="es-MX"/>
        </w:rPr>
      </w:pPr>
      <w:r w:rsidRPr="001F2D25">
        <w:rPr>
          <w:rFonts w:ascii="Arial" w:hAnsi="Arial" w:cs="Arial"/>
          <w:lang w:val="es-MX"/>
        </w:rPr>
        <w:t xml:space="preserve">Fecha:   </w:t>
      </w:r>
      <w:r w:rsidR="001F58C1" w:rsidRPr="001F58C1">
        <w:rPr>
          <w:rFonts w:ascii="Arial" w:hAnsi="Arial" w:cs="Arial"/>
          <w:b/>
          <w:bCs/>
          <w:lang w:val="es-MX"/>
        </w:rPr>
        <w:t>05 de septiembre de 2021</w:t>
      </w:r>
    </w:p>
    <w:p w14:paraId="75E84AC6" w14:textId="2946FF51" w:rsidR="00ED4ECD" w:rsidRPr="001F58C1" w:rsidRDefault="00B713D2" w:rsidP="00B713D2">
      <w:pPr>
        <w:pStyle w:val="Sinespaciado"/>
        <w:ind w:left="-1134"/>
        <w:rPr>
          <w:rFonts w:ascii="Arial" w:hAnsi="Arial" w:cs="Arial"/>
          <w:b/>
          <w:bCs/>
          <w:lang w:val="es-MX"/>
        </w:rPr>
      </w:pPr>
      <w:r w:rsidRPr="001F2D25">
        <w:rPr>
          <w:rFonts w:ascii="Arial" w:hAnsi="Arial" w:cs="Arial"/>
          <w:lang w:val="es-MX"/>
        </w:rPr>
        <w:t>Medio de c</w:t>
      </w:r>
      <w:r w:rsidR="00ED4ECD" w:rsidRPr="001F2D25">
        <w:rPr>
          <w:rFonts w:ascii="Arial" w:hAnsi="Arial" w:cs="Arial"/>
          <w:lang w:val="es-MX"/>
        </w:rPr>
        <w:t xml:space="preserve">ontrol: </w:t>
      </w:r>
      <w:r w:rsidR="001F58C1" w:rsidRPr="001F58C1">
        <w:rPr>
          <w:rFonts w:ascii="Arial" w:hAnsi="Arial" w:cs="Arial"/>
          <w:b/>
          <w:bCs/>
          <w:lang w:val="es-MX"/>
        </w:rPr>
        <w:t>NULIDAD Y RESTABLECIMIENTO DEL DERECHO</w:t>
      </w:r>
    </w:p>
    <w:p w14:paraId="6B89892F" w14:textId="23742CCA" w:rsidR="00B713D2" w:rsidRPr="001F58C1" w:rsidRDefault="00B713D2" w:rsidP="00B713D2">
      <w:pPr>
        <w:pStyle w:val="Sinespaciado"/>
        <w:ind w:left="-1134"/>
        <w:rPr>
          <w:rFonts w:ascii="Arial" w:hAnsi="Arial" w:cs="Arial"/>
          <w:b/>
          <w:bCs/>
          <w:lang w:val="es-MX"/>
        </w:rPr>
      </w:pPr>
      <w:proofErr w:type="spellStart"/>
      <w:proofErr w:type="gramStart"/>
      <w:r w:rsidRPr="001F2D25">
        <w:rPr>
          <w:rFonts w:ascii="Arial" w:hAnsi="Arial" w:cs="Arial"/>
          <w:lang w:val="es-MX"/>
        </w:rPr>
        <w:t>Demandante:</w:t>
      </w:r>
      <w:r w:rsidR="001F58C1" w:rsidRPr="001F58C1">
        <w:rPr>
          <w:rFonts w:ascii="Arial" w:hAnsi="Arial" w:cs="Arial"/>
          <w:b/>
          <w:bCs/>
          <w:lang w:val="es-MX"/>
        </w:rPr>
        <w:t>JUAN</w:t>
      </w:r>
      <w:proofErr w:type="spellEnd"/>
      <w:proofErr w:type="gramEnd"/>
      <w:r w:rsidR="001F58C1" w:rsidRPr="001F58C1">
        <w:rPr>
          <w:rFonts w:ascii="Arial" w:hAnsi="Arial" w:cs="Arial"/>
          <w:b/>
          <w:bCs/>
          <w:lang w:val="es-MX"/>
        </w:rPr>
        <w:t xml:space="preserve"> JOSÉ VARGAS</w:t>
      </w:r>
    </w:p>
    <w:p w14:paraId="1660C8A3" w14:textId="60985034" w:rsidR="00B713D2" w:rsidRPr="001F58C1" w:rsidRDefault="00B713D2" w:rsidP="00B713D2">
      <w:pPr>
        <w:pStyle w:val="Sinespaciado"/>
        <w:ind w:left="-1134"/>
        <w:rPr>
          <w:rFonts w:ascii="Arial" w:hAnsi="Arial" w:cs="Arial"/>
          <w:b/>
          <w:bCs/>
          <w:lang w:val="es-MX"/>
        </w:rPr>
      </w:pPr>
      <w:r w:rsidRPr="001F2D25">
        <w:rPr>
          <w:rFonts w:ascii="Arial" w:hAnsi="Arial" w:cs="Arial"/>
          <w:lang w:val="es-MX"/>
        </w:rPr>
        <w:t>Demandado:</w:t>
      </w:r>
      <w:r w:rsidR="001F58C1">
        <w:rPr>
          <w:rFonts w:ascii="Arial" w:hAnsi="Arial" w:cs="Arial"/>
          <w:lang w:val="es-MX"/>
        </w:rPr>
        <w:t xml:space="preserve"> </w:t>
      </w:r>
      <w:r w:rsidR="001F58C1">
        <w:rPr>
          <w:rFonts w:ascii="Arial" w:hAnsi="Arial" w:cs="Arial"/>
          <w:b/>
          <w:bCs/>
          <w:lang w:val="es-MX"/>
        </w:rPr>
        <w:t>MUNICIPIO DE IBAGUÉ.</w:t>
      </w:r>
    </w:p>
    <w:p w14:paraId="19FDD2BC" w14:textId="77777777" w:rsidR="00B713D2" w:rsidRPr="001F2D25" w:rsidRDefault="00B713D2" w:rsidP="00B713D2">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06517534" w:rsidR="00222D4A" w:rsidRDefault="00222D4A" w:rsidP="000F105D">
            <w:pPr>
              <w:pStyle w:val="Sinespaciado"/>
              <w:rPr>
                <w:rFonts w:ascii="Arial" w:eastAsia="Calibri" w:hAnsi="Arial" w:cs="Arial"/>
                <w:lang w:val="es-MX"/>
              </w:rPr>
            </w:pPr>
          </w:p>
          <w:p w14:paraId="7E09FF5D" w14:textId="09DE770E" w:rsidR="001F58C1" w:rsidRDefault="001F58C1" w:rsidP="001F58C1">
            <w:pPr>
              <w:pStyle w:val="Sinespaciado"/>
              <w:jc w:val="both"/>
              <w:rPr>
                <w:rFonts w:ascii="Arial" w:eastAsia="Calibri" w:hAnsi="Arial" w:cs="Arial"/>
                <w:lang w:val="es-MX"/>
              </w:rPr>
            </w:pPr>
            <w:r w:rsidRPr="001F58C1">
              <w:rPr>
                <w:rFonts w:ascii="Arial" w:eastAsia="Calibri" w:hAnsi="Arial" w:cs="Arial"/>
                <w:highlight w:val="yellow"/>
                <w:lang w:val="es-MX"/>
              </w:rPr>
              <w:t>En el presente caso venció el término de traslado de la demanda y solamente se propusieron las excepciones perentorias innominadas, así como la de prescripción, las cuales serán resueltas con la sentencia.</w:t>
            </w:r>
          </w:p>
          <w:p w14:paraId="752ACEEE" w14:textId="77777777" w:rsidR="001F58C1" w:rsidRPr="001F2D25" w:rsidRDefault="001F58C1" w:rsidP="000F105D">
            <w:pPr>
              <w:pStyle w:val="Sinespaciado"/>
              <w:rPr>
                <w:rFonts w:ascii="Arial" w:eastAsia="Calibri" w:hAnsi="Arial" w:cs="Arial"/>
                <w:lang w:val="es-MX"/>
              </w:rPr>
            </w:pPr>
          </w:p>
          <w:p w14:paraId="5D249CA6" w14:textId="77777777" w:rsidR="00222D4A" w:rsidRPr="001F2D25" w:rsidRDefault="00222D4A" w:rsidP="000F105D">
            <w:pPr>
              <w:pStyle w:val="Sinespaciado"/>
              <w:rPr>
                <w:rFonts w:ascii="Arial" w:eastAsia="Calibri" w:hAnsi="Arial" w:cs="Arial"/>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7777777" w:rsidR="00341FFF" w:rsidRPr="001F2D25" w:rsidRDefault="00341FFF" w:rsidP="00222D4A">
            <w:pPr>
              <w:pStyle w:val="Sinespaciado"/>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06368" behindDoc="0" locked="0" layoutInCell="1" allowOverlap="1" wp14:anchorId="7611BAD8" wp14:editId="2139E955">
                      <wp:simplePos x="0" y="0"/>
                      <wp:positionH relativeFrom="column">
                        <wp:posOffset>3488749</wp:posOffset>
                      </wp:positionH>
                      <wp:positionV relativeFrom="paragraph">
                        <wp:posOffset>152725</wp:posOffset>
                      </wp:positionV>
                      <wp:extent cx="250441" cy="180550"/>
                      <wp:effectExtent l="0" t="0" r="16510" b="10160"/>
                      <wp:wrapNone/>
                      <wp:docPr id="5" name="Rectángulo 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977DD1" id="Rectángulo 5" o:spid="_x0000_s1026" style="position:absolute;margin-left:274.7pt;margin-top:12.05pt;width:19.7pt;height:14.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" fillcolor="white [3201]" strokecolor="#70ad47 [3209]" strokeweight="1pt"/>
                  </w:pict>
                </mc:Fallback>
              </mc:AlternateContent>
            </w:r>
          </w:p>
          <w:p w14:paraId="5BD0EBF6" w14:textId="77777777"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77777777" w:rsidR="00306339" w:rsidRDefault="00306339" w:rsidP="00341FFF">
            <w:pPr>
              <w:pStyle w:val="Sinespaciado"/>
              <w:ind w:left="708"/>
              <w:jc w:val="both"/>
              <w:rPr>
                <w:rFonts w:ascii="Arial" w:hAnsi="Arial" w:cs="Arial"/>
                <w:b/>
                <w:bCs/>
                <w:i/>
              </w:rPr>
            </w:pPr>
            <w:r w:rsidRPr="001F2D25">
              <w:rPr>
                <w:rFonts w:ascii="Arial" w:eastAsia="Calibri" w:hAnsi="Arial" w:cs="Arial"/>
                <w:noProof/>
              </w:rPr>
              <mc:AlternateContent>
                <mc:Choice Requires="wps">
                  <w:drawing>
                    <wp:anchor distT="0" distB="0" distL="114300" distR="114300" simplePos="0" relativeHeight="251708416" behindDoc="0" locked="0" layoutInCell="1" allowOverlap="1" wp14:anchorId="45B914E8" wp14:editId="1B9030B9">
                      <wp:simplePos x="0" y="0"/>
                      <wp:positionH relativeFrom="column">
                        <wp:posOffset>3127012</wp:posOffset>
                      </wp:positionH>
                      <wp:positionV relativeFrom="paragraph">
                        <wp:posOffset>154551</wp:posOffset>
                      </wp:positionV>
                      <wp:extent cx="250441" cy="243445"/>
                      <wp:effectExtent l="0" t="0" r="16510" b="23495"/>
                      <wp:wrapNone/>
                      <wp:docPr id="6" name="Rectángulo 6"/>
                      <wp:cNvGraphicFramePr/>
                      <a:graphic xmlns:a="http://schemas.openxmlformats.org/drawingml/2006/main">
                        <a:graphicData uri="http://schemas.microsoft.com/office/word/2010/wordprocessingShape">
                          <wps:wsp>
                            <wps:cNvSpPr/>
                            <wps:spPr>
                              <a:xfrm>
                                <a:off x="0" y="0"/>
                                <a:ext cx="250441" cy="24344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1FEEED3" w14:textId="5BF7826B" w:rsidR="001F58C1" w:rsidRPr="001F58C1" w:rsidRDefault="001F58C1" w:rsidP="001F58C1">
                                  <w:pPr>
                                    <w:jc w:val="center"/>
                                    <w:rPr>
                                      <w:lang w:val="es-MX"/>
                                    </w:rPr>
                                  </w:pPr>
                                  <w:proofErr w:type="spellStart"/>
                                  <w:r>
                                    <w:rPr>
                                      <w:lang w:val="es-MX"/>
                                    </w:rPr>
                                    <w:t>xxxx</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B914E8" id="Rectángulo 6" o:spid="_x0000_s1026" style="position:absolute;left:0;text-align:left;margin-left:246.2pt;margin-top:12.15pt;width:19.7pt;height:19.1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" fillcolor="white [3201]" strokecolor="#70ad47 [3209]" strokeweight="1pt">
                      <v:textbox>
                        <w:txbxContent>
                          <w:p w14:paraId="31FEEED3" w14:textId="5BF7826B" w:rsidR="001F58C1" w:rsidRPr="001F58C1" w:rsidRDefault="001F58C1" w:rsidP="001F58C1">
                            <w:pPr>
                              <w:jc w:val="center"/>
                              <w:rPr>
                                <w:lang w:val="es-MX"/>
                              </w:rPr>
                            </w:pPr>
                            <w:proofErr w:type="spellStart"/>
                            <w:r>
                              <w:rPr>
                                <w:lang w:val="es-MX"/>
                              </w:rPr>
                              <w:t>xxxx</w:t>
                            </w:r>
                            <w:proofErr w:type="spellEnd"/>
                          </w:p>
                        </w:txbxContent>
                      </v:textbox>
                    </v:rect>
                  </w:pict>
                </mc:Fallback>
              </mc:AlternateContent>
            </w:r>
          </w:p>
          <w:p w14:paraId="0884ED88" w14:textId="77777777" w:rsidR="00341FFF" w:rsidRPr="001F2D25" w:rsidRDefault="00341FFF" w:rsidP="00341FFF">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77777777" w:rsidR="00341FFF" w:rsidRPr="001F2D25" w:rsidRDefault="00341FFF" w:rsidP="00341FFF">
            <w:pPr>
              <w:pStyle w:val="Sinespaciado"/>
              <w:ind w:left="708"/>
              <w:jc w:val="both"/>
              <w:rPr>
                <w:rFonts w:ascii="Arial" w:hAnsi="Arial" w:cs="Arial"/>
                <w:i/>
              </w:rPr>
            </w:pPr>
            <w:r w:rsidRPr="001F2D25">
              <w:rPr>
                <w:rFonts w:ascii="Arial" w:eastAsia="Calibri" w:hAnsi="Arial" w:cs="Arial"/>
                <w:noProof/>
              </w:rPr>
              <mc:AlternateContent>
                <mc:Choice Requires="wps">
                  <w:drawing>
                    <wp:anchor distT="0" distB="0" distL="114300" distR="114300" simplePos="0" relativeHeight="251710464" behindDoc="0" locked="0" layoutInCell="1" allowOverlap="1" wp14:anchorId="592904FA" wp14:editId="15B0DD2A">
                      <wp:simplePos x="0" y="0"/>
                      <wp:positionH relativeFrom="column">
                        <wp:posOffset>1606550</wp:posOffset>
                      </wp:positionH>
                      <wp:positionV relativeFrom="paragraph">
                        <wp:posOffset>323688</wp:posOffset>
                      </wp:positionV>
                      <wp:extent cx="250441" cy="180550"/>
                      <wp:effectExtent l="0" t="0" r="16510" b="10160"/>
                      <wp:wrapNone/>
                      <wp:docPr id="15" name="Rectángulo 1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3260DC" id="Rectángulo 15" o:spid="_x0000_s1026" style="position:absolute;margin-left:126.5pt;margin-top:25.5pt;width:19.7pt;height:14.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Ra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" fillcolor="white [3201]" strokecolor="#70ad47 [3209]" strokeweight="1p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77777777"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12512" behindDoc="0" locked="0" layoutInCell="1" allowOverlap="1" wp14:anchorId="3D214EC7" wp14:editId="41D7FCD0">
                      <wp:simplePos x="0" y="0"/>
                      <wp:positionH relativeFrom="column">
                        <wp:posOffset>1021375</wp:posOffset>
                      </wp:positionH>
                      <wp:positionV relativeFrom="paragraph">
                        <wp:posOffset>176073</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8B1681" id="Rectángulo 18" o:spid="_x0000_s1026" style="position:absolute;margin-left:80.4pt;margin-top:13.8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oO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" fillcolor="white [3201]" strokecolor="#70ad47 [3209]" strokeweight="1p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lastRenderedPageBreak/>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Proferir auto donde debe pronunciarse sobre las pruebas cuando a ello hubiere lugar, aplicando el artículo 173 del CGP. </w:t>
            </w: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En la misma providencia debe fijar el litigio u objeto de la controversia. </w:t>
            </w:r>
          </w:p>
          <w:p w14:paraId="758A2772" w14:textId="05A9F3D7" w:rsidR="00D75A67" w:rsidRDefault="00D75A67" w:rsidP="00D75A67">
            <w:pPr>
              <w:pStyle w:val="Sinespaciado"/>
              <w:jc w:val="both"/>
              <w:rPr>
                <w:rFonts w:ascii="Arial" w:eastAsia="Calibri" w:hAnsi="Arial" w:cs="Arial"/>
                <w:lang w:val="es-MX"/>
              </w:rPr>
            </w:pPr>
          </w:p>
          <w:p w14:paraId="030CAA6E" w14:textId="07C8BB8A" w:rsidR="001F58C1" w:rsidRPr="001F58C1" w:rsidRDefault="001F58C1" w:rsidP="001F58C1">
            <w:pPr>
              <w:spacing w:before="9"/>
              <w:jc w:val="both"/>
              <w:rPr>
                <w:rFonts w:ascii="Arial" w:hAnsi="Arial" w:cs="Arial"/>
                <w:highlight w:val="yellow"/>
                <w:lang w:val="es-MX"/>
              </w:rPr>
            </w:pPr>
            <w:r w:rsidRPr="001F58C1">
              <w:rPr>
                <w:rFonts w:ascii="Arial" w:hAnsi="Arial" w:cs="Arial"/>
                <w:highlight w:val="yellow"/>
                <w:lang w:val="es-MX"/>
              </w:rPr>
              <w:t>Encontrándose el proceso al Despacho, de conformidad con lo estatuido en el artículo 42 de la Ley 2080 de 2021, se dispone lo siguiente:</w:t>
            </w:r>
          </w:p>
          <w:p w14:paraId="17F300E0" w14:textId="77777777" w:rsidR="001F58C1" w:rsidRPr="001F58C1" w:rsidRDefault="001F58C1" w:rsidP="001F58C1">
            <w:pPr>
              <w:pStyle w:val="Prrafodelista"/>
              <w:numPr>
                <w:ilvl w:val="0"/>
                <w:numId w:val="18"/>
              </w:numPr>
              <w:spacing w:before="9"/>
              <w:contextualSpacing w:val="0"/>
              <w:jc w:val="both"/>
              <w:rPr>
                <w:rFonts w:ascii="Arial" w:hAnsi="Arial" w:cs="Arial"/>
                <w:highlight w:val="yellow"/>
                <w:u w:val="single"/>
                <w:lang w:val="es-MX"/>
              </w:rPr>
            </w:pPr>
            <w:r w:rsidRPr="001F58C1">
              <w:rPr>
                <w:rFonts w:ascii="Arial" w:hAnsi="Arial" w:cs="Arial"/>
                <w:highlight w:val="yellow"/>
                <w:u w:val="single"/>
                <w:lang w:val="es-MX"/>
              </w:rPr>
              <w:t>De la fijación del litigio.</w:t>
            </w:r>
          </w:p>
          <w:p w14:paraId="0F0D1A4B" w14:textId="3ACF55C7" w:rsidR="001F58C1" w:rsidRPr="001F58C1" w:rsidRDefault="001F58C1" w:rsidP="001F58C1">
            <w:pPr>
              <w:spacing w:before="9"/>
              <w:jc w:val="both"/>
              <w:rPr>
                <w:rFonts w:ascii="Arial" w:hAnsi="Arial" w:cs="Arial"/>
                <w:highlight w:val="yellow"/>
                <w:lang w:val="es-MX"/>
              </w:rPr>
            </w:pPr>
            <w:r w:rsidRPr="001F58C1">
              <w:rPr>
                <w:rFonts w:ascii="Arial" w:hAnsi="Arial" w:cs="Arial"/>
                <w:highlight w:val="yellow"/>
                <w:lang w:val="es-MX"/>
              </w:rPr>
              <w:t>Con la contestación de la demanda se aceptaron como ciertos los hechos primero, cuarto, sexto, séptimo y octavo de la demanda.</w:t>
            </w:r>
          </w:p>
          <w:p w14:paraId="66ADC594" w14:textId="3F1A996C" w:rsidR="001F58C1" w:rsidRPr="001F58C1" w:rsidRDefault="001F58C1" w:rsidP="001F58C1">
            <w:pPr>
              <w:spacing w:before="9"/>
              <w:jc w:val="both"/>
              <w:rPr>
                <w:rFonts w:ascii="Arial" w:hAnsi="Arial" w:cs="Arial"/>
                <w:highlight w:val="yellow"/>
                <w:lang w:val="es-MX"/>
              </w:rPr>
            </w:pPr>
            <w:r w:rsidRPr="001F58C1">
              <w:rPr>
                <w:rFonts w:ascii="Arial" w:hAnsi="Arial" w:cs="Arial"/>
                <w:highlight w:val="yellow"/>
                <w:lang w:val="es-MX"/>
              </w:rPr>
              <w:t>Así, existe acuerdo en que el señor Amelio Guerrero es funcionario administrativo de la secretaría de educación del municipio de Ibagué, adscrito a la Institución educativa Francisco de Paula Santander; que el 10 de diciembre de 2018 realizó reclamación administrativa en la que solicitaba el pago en dinero de los compensatorios de los años 2015 a 2018; que desde el momento de la radicación de la reclamación a la fecha han transcurrido más de 3 meses; y que se agotó la conciliación como requisito de procedibilidad.</w:t>
            </w:r>
          </w:p>
          <w:p w14:paraId="137C8249" w14:textId="7A7C8DD0" w:rsidR="001F58C1" w:rsidRPr="001F58C1" w:rsidRDefault="001F58C1" w:rsidP="001F58C1">
            <w:pPr>
              <w:spacing w:before="9"/>
              <w:jc w:val="both"/>
              <w:rPr>
                <w:rFonts w:ascii="Arial" w:hAnsi="Arial" w:cs="Arial"/>
                <w:highlight w:val="yellow"/>
              </w:rPr>
            </w:pPr>
            <w:r w:rsidRPr="001F58C1">
              <w:rPr>
                <w:rFonts w:ascii="Arial" w:hAnsi="Arial" w:cs="Arial"/>
                <w:highlight w:val="yellow"/>
              </w:rPr>
              <w:t xml:space="preserve">Existe desacuerdo sobre los turnos realizados y su compensación, pues la apoderada del municipio manifiesta que el segundo hecho no es cierto, pues según certificación de la Institución Educativa Francisco de Paula Santander de fecha 12 de octubre de 2017 allegada como traslado, los compensatorios para el año 2015 – 2016 dan un total de 107, año 2017 corresponden a 13 compensatorios y del 13 de octubre de 2017 al 13 de octubre de 2018, dan 73 días por compensar, sumando un total de 193 días, según dicha certificación. </w:t>
            </w:r>
          </w:p>
          <w:p w14:paraId="2E1E75A2" w14:textId="17594CA4" w:rsidR="001F58C1" w:rsidRPr="001F58C1" w:rsidRDefault="001F58C1" w:rsidP="001F58C1">
            <w:pPr>
              <w:spacing w:before="9"/>
              <w:jc w:val="both"/>
              <w:rPr>
                <w:rFonts w:ascii="Arial" w:hAnsi="Arial" w:cs="Arial"/>
                <w:highlight w:val="yellow"/>
              </w:rPr>
            </w:pPr>
            <w:r w:rsidRPr="001F58C1">
              <w:rPr>
                <w:rFonts w:ascii="Arial" w:hAnsi="Arial" w:cs="Arial"/>
                <w:highlight w:val="yellow"/>
              </w:rPr>
              <w:t>Frente al tercero hecho también existe desacuerdo, pues la parte pasiva sostiene que la norma anunciada no se encuentra vigente y que sólo faculta a las entidades del orden nacional.</w:t>
            </w:r>
          </w:p>
          <w:p w14:paraId="77AED4F8" w14:textId="57DDEE97" w:rsidR="001F58C1" w:rsidRPr="001F58C1" w:rsidRDefault="001F58C1" w:rsidP="001F58C1">
            <w:pPr>
              <w:spacing w:before="9"/>
              <w:jc w:val="both"/>
              <w:rPr>
                <w:rFonts w:ascii="Arial" w:hAnsi="Arial" w:cs="Arial"/>
                <w:highlight w:val="yellow"/>
              </w:rPr>
            </w:pPr>
            <w:r w:rsidRPr="001F58C1">
              <w:rPr>
                <w:rFonts w:ascii="Arial" w:hAnsi="Arial" w:cs="Arial"/>
                <w:highlight w:val="yellow"/>
              </w:rPr>
              <w:t>En ese contexto, el litigio se plantea a través del siguiente problema jurídico:</w:t>
            </w:r>
          </w:p>
          <w:p w14:paraId="2544AC22" w14:textId="78170DD7" w:rsidR="001F58C1" w:rsidRPr="001F58C1" w:rsidRDefault="001F58C1" w:rsidP="001F58C1">
            <w:pPr>
              <w:spacing w:before="9"/>
              <w:jc w:val="both"/>
              <w:rPr>
                <w:rFonts w:ascii="Arial" w:hAnsi="Arial" w:cs="Arial"/>
                <w:i/>
                <w:iCs/>
                <w:highlight w:val="yellow"/>
              </w:rPr>
            </w:pPr>
            <w:r w:rsidRPr="001F58C1">
              <w:rPr>
                <w:rFonts w:ascii="Arial" w:hAnsi="Arial" w:cs="Arial"/>
                <w:i/>
                <w:iCs/>
                <w:highlight w:val="yellow"/>
              </w:rPr>
              <w:t>¿El señor Amelio Guerrero tiene derecho al reconocimiento y pago de los compensatorios en dinero por los turnos cumplidos entre los años 2015 a 2018 como funcionario administrativo de la secretaría de educación del municipio de Ibagué, adscrito a la Institución educativa Francisco de Paula Santander o, si por el contrario, el acto ficto acusado conserva su presunción de legalidad, al basarse la reclamación en normas que no se encuentran vigentes, que corresponden a servidores de entidades del orden nacional y a un nivel funcional no aplicable al actor?</w:t>
            </w:r>
          </w:p>
          <w:p w14:paraId="568C6712" w14:textId="77777777" w:rsidR="001F58C1" w:rsidRPr="001F58C1" w:rsidRDefault="001F58C1" w:rsidP="001F58C1">
            <w:pPr>
              <w:spacing w:before="9"/>
              <w:jc w:val="both"/>
              <w:rPr>
                <w:rFonts w:ascii="Arial" w:hAnsi="Arial" w:cs="Arial"/>
                <w:highlight w:val="yellow"/>
                <w:u w:val="single"/>
                <w:lang w:val="es-MX"/>
              </w:rPr>
            </w:pPr>
            <w:r w:rsidRPr="001F58C1">
              <w:rPr>
                <w:rFonts w:ascii="Arial" w:hAnsi="Arial" w:cs="Arial"/>
                <w:highlight w:val="yellow"/>
                <w:u w:val="single"/>
                <w:lang w:val="es-MX"/>
              </w:rPr>
              <w:t>Se advierte que la excepción de prescripción será resuelta en la sentencia.</w:t>
            </w:r>
          </w:p>
          <w:p w14:paraId="635B0BC2" w14:textId="77777777" w:rsidR="001F58C1" w:rsidRPr="001F58C1" w:rsidRDefault="001F58C1" w:rsidP="001F58C1">
            <w:pPr>
              <w:spacing w:before="9"/>
              <w:jc w:val="both"/>
              <w:rPr>
                <w:rFonts w:ascii="Arial" w:hAnsi="Arial" w:cs="Arial"/>
                <w:highlight w:val="yellow"/>
                <w:u w:val="single"/>
                <w:lang w:val="es-MX"/>
              </w:rPr>
            </w:pPr>
          </w:p>
          <w:p w14:paraId="36DEF2BC" w14:textId="77777777" w:rsidR="001F58C1" w:rsidRPr="001F58C1" w:rsidRDefault="001F58C1" w:rsidP="001F58C1">
            <w:pPr>
              <w:pStyle w:val="Prrafodelista"/>
              <w:numPr>
                <w:ilvl w:val="0"/>
                <w:numId w:val="18"/>
              </w:numPr>
              <w:spacing w:before="9"/>
              <w:contextualSpacing w:val="0"/>
              <w:jc w:val="both"/>
              <w:rPr>
                <w:rFonts w:ascii="Arial" w:hAnsi="Arial" w:cs="Arial"/>
                <w:highlight w:val="yellow"/>
                <w:u w:val="single"/>
                <w:lang w:val="es-MX"/>
              </w:rPr>
            </w:pPr>
            <w:r w:rsidRPr="001F58C1">
              <w:rPr>
                <w:rFonts w:ascii="Arial" w:hAnsi="Arial" w:cs="Arial"/>
                <w:highlight w:val="yellow"/>
                <w:u w:val="single"/>
                <w:lang w:val="es-MX"/>
              </w:rPr>
              <w:t>De las pruebas.</w:t>
            </w:r>
          </w:p>
          <w:p w14:paraId="2212E74C" w14:textId="77777777" w:rsidR="001F58C1" w:rsidRPr="001F58C1" w:rsidRDefault="001F58C1" w:rsidP="001F58C1">
            <w:pPr>
              <w:pStyle w:val="Prrafodelista"/>
              <w:numPr>
                <w:ilvl w:val="0"/>
                <w:numId w:val="17"/>
              </w:numPr>
              <w:spacing w:before="9"/>
              <w:contextualSpacing w:val="0"/>
              <w:jc w:val="both"/>
              <w:rPr>
                <w:rFonts w:ascii="Arial" w:hAnsi="Arial" w:cs="Arial"/>
                <w:highlight w:val="yellow"/>
                <w:lang w:val="es-MX"/>
              </w:rPr>
            </w:pPr>
            <w:r w:rsidRPr="001F58C1">
              <w:rPr>
                <w:rFonts w:ascii="Arial" w:hAnsi="Arial" w:cs="Arial"/>
                <w:highlight w:val="yellow"/>
                <w:lang w:val="es-MX"/>
              </w:rPr>
              <w:lastRenderedPageBreak/>
              <w:t>Téngase como pruebas las documentales aportadas en la demanda y con su contestación, a las que se les dará el valor probatorio correspondiente al momento de proferir sentencia.</w:t>
            </w:r>
          </w:p>
          <w:p w14:paraId="4A400FA6" w14:textId="77777777" w:rsidR="001F58C1" w:rsidRPr="001F58C1" w:rsidRDefault="001F58C1" w:rsidP="001F58C1">
            <w:pPr>
              <w:pStyle w:val="Prrafodelista"/>
              <w:numPr>
                <w:ilvl w:val="0"/>
                <w:numId w:val="17"/>
              </w:numPr>
              <w:spacing w:before="9"/>
              <w:contextualSpacing w:val="0"/>
              <w:jc w:val="both"/>
              <w:rPr>
                <w:rFonts w:ascii="Arial" w:hAnsi="Arial" w:cs="Arial"/>
                <w:highlight w:val="yellow"/>
                <w:lang w:val="es-MX"/>
              </w:rPr>
            </w:pPr>
            <w:r w:rsidRPr="001F58C1">
              <w:rPr>
                <w:rFonts w:ascii="Arial" w:hAnsi="Arial" w:cs="Arial"/>
                <w:highlight w:val="yellow"/>
                <w:lang w:val="es-MX"/>
              </w:rPr>
              <w:t>Ni con la demanda ni con su contestación se solicitaron pruebas.</w:t>
            </w:r>
          </w:p>
          <w:p w14:paraId="0E761D3C" w14:textId="277ADC08" w:rsidR="001F58C1" w:rsidRPr="001F58C1" w:rsidRDefault="001F58C1" w:rsidP="001F58C1">
            <w:pPr>
              <w:spacing w:before="9"/>
              <w:jc w:val="both"/>
              <w:rPr>
                <w:rFonts w:ascii="Arial" w:hAnsi="Arial" w:cs="Arial"/>
                <w:lang w:val="es-MX"/>
              </w:rPr>
            </w:pPr>
            <w:r w:rsidRPr="001F58C1">
              <w:rPr>
                <w:rFonts w:ascii="Arial" w:hAnsi="Arial" w:cs="Arial"/>
                <w:highlight w:val="yellow"/>
                <w:u w:val="single"/>
                <w:lang w:val="es-MX"/>
              </w:rPr>
              <w:t>En firme esta decisión, pase el proceso al Despacho para correr traslado para alegar de conclusión</w:t>
            </w:r>
            <w:r w:rsidRPr="001F58C1">
              <w:rPr>
                <w:rFonts w:ascii="Arial" w:hAnsi="Arial" w:cs="Arial"/>
                <w:highlight w:val="yellow"/>
                <w:lang w:val="es-MX"/>
              </w:rPr>
              <w:t>.</w:t>
            </w: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76119838" w:rsidR="004430DA" w:rsidRDefault="004430DA" w:rsidP="00222D4A">
            <w:pPr>
              <w:pStyle w:val="Sinespaciado"/>
              <w:rPr>
                <w:rFonts w:ascii="Arial" w:eastAsia="Calibri" w:hAnsi="Arial" w:cs="Arial"/>
                <w:lang w:val="es-MX"/>
              </w:rPr>
            </w:pPr>
          </w:p>
          <w:p w14:paraId="3B182860" w14:textId="77777777" w:rsidR="00923629" w:rsidRPr="00923629" w:rsidRDefault="00923629" w:rsidP="00923629">
            <w:pPr>
              <w:ind w:right="76"/>
              <w:jc w:val="both"/>
              <w:rPr>
                <w:rFonts w:ascii="Arial" w:hAnsi="Arial" w:cs="Arial"/>
                <w:color w:val="000000" w:themeColor="text1"/>
                <w:highlight w:val="yellow"/>
                <w:lang w:val="es-MX"/>
              </w:rPr>
            </w:pPr>
            <w:r w:rsidRPr="00923629">
              <w:rPr>
                <w:rFonts w:ascii="Arial" w:hAnsi="Arial" w:cs="Arial"/>
                <w:color w:val="000000" w:themeColor="text1"/>
                <w:highlight w:val="yellow"/>
                <w:lang w:val="es-MX"/>
              </w:rPr>
              <w:t>Una vez en firme el pronunciamiento sobre las pruebas y la fijación del litigio, en el presente caso el despacho proferirá sentencia anticipada por escrito, con fundamento en la causal consagrada en el literal c) del artículo 182A de la Ley 1437 de 2011, adicionado por el artículo 42 de la Ley 2080 de 2021, teniendo en cuenta que sólo se solicitó tener como pruebas las documentales aportadas con la demanda y la contestación, y sobre ellas no se formuló tacha o desconocimiento.</w:t>
            </w:r>
          </w:p>
          <w:p w14:paraId="13AAE430" w14:textId="77777777" w:rsidR="00923629" w:rsidRPr="00DF0B32" w:rsidRDefault="00923629" w:rsidP="00923629">
            <w:pPr>
              <w:ind w:right="76"/>
              <w:jc w:val="both"/>
              <w:rPr>
                <w:rFonts w:ascii="Arial" w:hAnsi="Arial" w:cs="Arial"/>
                <w:bCs/>
                <w:lang w:val="es-ES"/>
              </w:rPr>
            </w:pPr>
            <w:r w:rsidRPr="00923629">
              <w:rPr>
                <w:rFonts w:ascii="Arial" w:eastAsia="Arial" w:hAnsi="Arial" w:cs="Arial"/>
                <w:color w:val="000000" w:themeColor="text1"/>
                <w:spacing w:val="7"/>
                <w:highlight w:val="yellow"/>
                <w:lang w:val="es-MX"/>
              </w:rPr>
              <w:t>Razón por la cual, con fundamento en el mismo artículo 182 A</w:t>
            </w:r>
            <w:r w:rsidRPr="00923629">
              <w:rPr>
                <w:rFonts w:ascii="Arial" w:eastAsia="Arial" w:hAnsi="Arial" w:cs="Arial"/>
                <w:color w:val="000000" w:themeColor="text1"/>
                <w:highlight w:val="yellow"/>
                <w:lang w:val="es-MX"/>
              </w:rPr>
              <w:t>,</w:t>
            </w:r>
            <w:r w:rsidRPr="00923629">
              <w:rPr>
                <w:rFonts w:ascii="Arial" w:eastAsia="Arial" w:hAnsi="Arial" w:cs="Arial"/>
                <w:color w:val="000000" w:themeColor="text1"/>
                <w:spacing w:val="-3"/>
                <w:highlight w:val="yellow"/>
                <w:lang w:val="es-MX"/>
              </w:rPr>
              <w:t xml:space="preserve"> se </w:t>
            </w:r>
            <w:r w:rsidRPr="00923629">
              <w:rPr>
                <w:rFonts w:ascii="Arial" w:eastAsia="Arial" w:hAnsi="Arial" w:cs="Arial"/>
                <w:color w:val="000000" w:themeColor="text1"/>
                <w:highlight w:val="yellow"/>
                <w:lang w:val="es-MX"/>
              </w:rPr>
              <w:t>ordena la presentación por escrito de los ALEGATOS DE CONCLUSIÓN dentro de los DIEZ (10) DÍAS siguientes a la notificación por estado de este auto.</w:t>
            </w:r>
            <w:r w:rsidRPr="00923629">
              <w:rPr>
                <w:rFonts w:ascii="Arial" w:hAnsi="Arial" w:cs="Arial"/>
                <w:bCs/>
                <w:highlight w:val="yellow"/>
                <w:lang w:val="es-ES"/>
              </w:rPr>
              <w:t xml:space="preserve"> E</w:t>
            </w:r>
            <w:r w:rsidRPr="00923629">
              <w:rPr>
                <w:rFonts w:ascii="Arial" w:eastAsia="Arial" w:hAnsi="Arial" w:cs="Arial"/>
                <w:color w:val="000000" w:themeColor="text1"/>
                <w:highlight w:val="yellow"/>
                <w:lang w:val="es-MX"/>
              </w:rPr>
              <w:t>n el mismo término el Ministerio Público podrá presentar concepto si a bien lo tiene. Vencido el término anterior, pasará el proceso al despacho para proferir sentencia anticipada.</w:t>
            </w:r>
          </w:p>
          <w:p w14:paraId="31C3BF7B" w14:textId="77777777" w:rsidR="00923629" w:rsidRPr="001F2D25" w:rsidRDefault="00923629"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6AE9A005" w14:textId="77777777" w:rsidR="00A461DF" w:rsidRPr="001F2D25"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Sandra Lisset Ibarra Vélez. veintiuno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B713D2">
      <w:pPr>
        <w:pStyle w:val="Sinespaciado"/>
        <w:ind w:left="-1134"/>
        <w:rPr>
          <w:rFonts w:ascii="Arial" w:eastAsia="Calibri" w:hAnsi="Arial" w:cs="Arial"/>
          <w:lang w:val="es-MX"/>
        </w:rPr>
      </w:pPr>
    </w:p>
    <w:p w14:paraId="43B219E2" w14:textId="77777777" w:rsidR="00ED4ECD" w:rsidRPr="001F2D25" w:rsidRDefault="00ED4ECD" w:rsidP="00ED4ECD">
      <w:pPr>
        <w:rPr>
          <w:rFonts w:ascii="Arial" w:hAnsi="Arial" w:cs="Arial"/>
        </w:rPr>
      </w:pPr>
    </w:p>
    <w:p w14:paraId="2297C992" w14:textId="77777777" w:rsidR="00ED4ECD" w:rsidRPr="001F2D25" w:rsidRDefault="00ED4ECD" w:rsidP="00ED4ECD">
      <w:pPr>
        <w:rPr>
          <w:rFonts w:ascii="Arial" w:hAnsi="Arial" w:cs="Arial"/>
        </w:rPr>
      </w:pPr>
    </w:p>
    <w:p w14:paraId="341CB10B" w14:textId="77777777" w:rsidR="002F7D1D" w:rsidRPr="001F2D25" w:rsidRDefault="002F7D1D">
      <w:pPr>
        <w:rPr>
          <w:rFonts w:ascii="Arial" w:hAnsi="Arial" w:cs="Arial"/>
        </w:rPr>
      </w:pPr>
    </w:p>
    <w:sectPr w:rsidR="002F7D1D" w:rsidRPr="001F2D25" w:rsidSect="00B737D7">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F8179F" w14:textId="77777777" w:rsidR="00C0062F" w:rsidRDefault="00C0062F">
      <w:pPr>
        <w:spacing w:after="0" w:line="240" w:lineRule="auto"/>
      </w:pPr>
      <w:r>
        <w:separator/>
      </w:r>
    </w:p>
  </w:endnote>
  <w:endnote w:type="continuationSeparator" w:id="0">
    <w:p w14:paraId="63040EF9" w14:textId="77777777" w:rsidR="00C0062F" w:rsidRDefault="00C006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566093"/>
      <w:docPartObj>
        <w:docPartGallery w:val="Page Numbers (Bottom of Page)"/>
        <w:docPartUnique/>
      </w:docPartObj>
    </w:sdtPr>
    <w:sdtEndPr/>
    <w:sdtContent>
      <w:p w14:paraId="586E939E"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3</w:t>
        </w:r>
        <w:r>
          <w:fldChar w:fldCharType="end"/>
        </w:r>
      </w:p>
    </w:sdtContent>
  </w:sdt>
  <w:p w14:paraId="2521E8EB" w14:textId="77777777" w:rsidR="00224C42" w:rsidRDefault="00C0062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958699"/>
      <w:docPartObj>
        <w:docPartGallery w:val="Page Numbers (Bottom of Page)"/>
        <w:docPartUnique/>
      </w:docPartObj>
    </w:sdtPr>
    <w:sdtEndPr/>
    <w:sdtContent>
      <w:p w14:paraId="65574588"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1</w:t>
        </w:r>
        <w:r>
          <w:fldChar w:fldCharType="end"/>
        </w:r>
      </w:p>
    </w:sdtContent>
  </w:sdt>
  <w:p w14:paraId="60134C65" w14:textId="77777777" w:rsidR="00224C42" w:rsidRDefault="00C0062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B83BB5" w14:textId="77777777" w:rsidR="00C0062F" w:rsidRDefault="00C0062F">
      <w:pPr>
        <w:spacing w:after="0" w:line="240" w:lineRule="auto"/>
      </w:pPr>
      <w:r>
        <w:separator/>
      </w:r>
    </w:p>
  </w:footnote>
  <w:footnote w:type="continuationSeparator" w:id="0">
    <w:p w14:paraId="19A8EBD0" w14:textId="77777777" w:rsidR="00C0062F" w:rsidRDefault="00C006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13726BC"/>
    <w:multiLevelType w:val="hybridMultilevel"/>
    <w:tmpl w:val="1A4C3782"/>
    <w:lvl w:ilvl="0" w:tplc="2C54F9F6">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465F7AA7"/>
    <w:multiLevelType w:val="hybridMultilevel"/>
    <w:tmpl w:val="911A257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6"/>
  </w:num>
  <w:num w:numId="3">
    <w:abstractNumId w:val="8"/>
  </w:num>
  <w:num w:numId="4">
    <w:abstractNumId w:val="3"/>
  </w:num>
  <w:num w:numId="5">
    <w:abstractNumId w:val="10"/>
  </w:num>
  <w:num w:numId="6">
    <w:abstractNumId w:val="11"/>
  </w:num>
  <w:num w:numId="7">
    <w:abstractNumId w:val="5"/>
  </w:num>
  <w:num w:numId="8">
    <w:abstractNumId w:val="14"/>
  </w:num>
  <w:num w:numId="9">
    <w:abstractNumId w:val="15"/>
  </w:num>
  <w:num w:numId="10">
    <w:abstractNumId w:val="4"/>
  </w:num>
  <w:num w:numId="11">
    <w:abstractNumId w:val="1"/>
  </w:num>
  <w:num w:numId="12">
    <w:abstractNumId w:val="17"/>
  </w:num>
  <w:num w:numId="13">
    <w:abstractNumId w:val="6"/>
  </w:num>
  <w:num w:numId="14">
    <w:abstractNumId w:val="12"/>
  </w:num>
  <w:num w:numId="15">
    <w:abstractNumId w:val="9"/>
  </w:num>
  <w:num w:numId="16">
    <w:abstractNumId w:val="13"/>
  </w:num>
  <w:num w:numId="17">
    <w:abstractNumId w:val="2"/>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ECD"/>
    <w:rsid w:val="000D6A0D"/>
    <w:rsid w:val="000F105D"/>
    <w:rsid w:val="00127C6E"/>
    <w:rsid w:val="00195C31"/>
    <w:rsid w:val="001C54E3"/>
    <w:rsid w:val="001F2D25"/>
    <w:rsid w:val="001F58C1"/>
    <w:rsid w:val="00222B39"/>
    <w:rsid w:val="00222D4A"/>
    <w:rsid w:val="0023682D"/>
    <w:rsid w:val="00245C3E"/>
    <w:rsid w:val="002971BC"/>
    <w:rsid w:val="002E526E"/>
    <w:rsid w:val="002F6A16"/>
    <w:rsid w:val="002F7D1D"/>
    <w:rsid w:val="00306339"/>
    <w:rsid w:val="00341FFF"/>
    <w:rsid w:val="003A0FA3"/>
    <w:rsid w:val="003B379B"/>
    <w:rsid w:val="00407892"/>
    <w:rsid w:val="004430DA"/>
    <w:rsid w:val="00462075"/>
    <w:rsid w:val="004C270A"/>
    <w:rsid w:val="00532C33"/>
    <w:rsid w:val="00565605"/>
    <w:rsid w:val="00591BD3"/>
    <w:rsid w:val="005B3ECD"/>
    <w:rsid w:val="005C690E"/>
    <w:rsid w:val="005D343D"/>
    <w:rsid w:val="006E320B"/>
    <w:rsid w:val="00764314"/>
    <w:rsid w:val="007D59E3"/>
    <w:rsid w:val="00823B31"/>
    <w:rsid w:val="00857522"/>
    <w:rsid w:val="00923629"/>
    <w:rsid w:val="00926ADA"/>
    <w:rsid w:val="00965363"/>
    <w:rsid w:val="0096597C"/>
    <w:rsid w:val="009E3199"/>
    <w:rsid w:val="00A461DF"/>
    <w:rsid w:val="00A62E46"/>
    <w:rsid w:val="00B47DA4"/>
    <w:rsid w:val="00B713D2"/>
    <w:rsid w:val="00C0062F"/>
    <w:rsid w:val="00C43096"/>
    <w:rsid w:val="00C53F95"/>
    <w:rsid w:val="00C5649B"/>
    <w:rsid w:val="00CC64F1"/>
    <w:rsid w:val="00CF03D9"/>
    <w:rsid w:val="00D111DA"/>
    <w:rsid w:val="00D747D0"/>
    <w:rsid w:val="00D75A67"/>
    <w:rsid w:val="00DB38E3"/>
    <w:rsid w:val="00DC796E"/>
    <w:rsid w:val="00DE6DCB"/>
    <w:rsid w:val="00E031FD"/>
    <w:rsid w:val="00E03626"/>
    <w:rsid w:val="00E377AA"/>
    <w:rsid w:val="00E42B7C"/>
    <w:rsid w:val="00E61BDD"/>
    <w:rsid w:val="00E93701"/>
    <w:rsid w:val="00EB3514"/>
    <w:rsid w:val="00ED4ECD"/>
    <w:rsid w:val="00EE219B"/>
    <w:rsid w:val="00F57547"/>
    <w:rsid w:val="00F87F52"/>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F53160-5B66-49F0-AC10-8F94014AB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1474</Words>
  <Characters>8109</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CARLOS FERNANDO</cp:lastModifiedBy>
  <cp:revision>2</cp:revision>
  <dcterms:created xsi:type="dcterms:W3CDTF">2021-09-06T02:32:00Z</dcterms:created>
  <dcterms:modified xsi:type="dcterms:W3CDTF">2021-09-06T02:32:00Z</dcterms:modified>
</cp:coreProperties>
</file>