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A4FC6" w14:textId="77777777" w:rsidR="007D0EEE" w:rsidRPr="004445AE" w:rsidRDefault="00773287" w:rsidP="00AE0734">
      <w:pPr>
        <w:pStyle w:val="Ttulo"/>
        <w:spacing w:line="276" w:lineRule="auto"/>
        <w:rPr>
          <w:rFonts w:ascii="Verdana" w:hAnsi="Verdana" w:cs="Arial"/>
          <w:sz w:val="22"/>
          <w:szCs w:val="22"/>
        </w:rPr>
      </w:pPr>
      <w:r w:rsidRPr="004445AE">
        <w:rPr>
          <w:rFonts w:ascii="Verdana" w:hAnsi="Verdana" w:cs="Arial"/>
          <w:sz w:val="22"/>
          <w:szCs w:val="22"/>
        </w:rPr>
        <w:t>REPÚ</w:t>
      </w:r>
      <w:r w:rsidR="007D0EEE" w:rsidRPr="004445AE">
        <w:rPr>
          <w:rFonts w:ascii="Verdana" w:hAnsi="Verdana" w:cs="Arial"/>
          <w:sz w:val="22"/>
          <w:szCs w:val="22"/>
        </w:rPr>
        <w:t>BLICA DE COLOMBIA</w:t>
      </w:r>
    </w:p>
    <w:p w14:paraId="44F30F42" w14:textId="77777777" w:rsidR="007D0EEE" w:rsidRPr="004445AE" w:rsidRDefault="007D0EEE" w:rsidP="00AE0734">
      <w:pPr>
        <w:pStyle w:val="Subttulo"/>
        <w:spacing w:line="276" w:lineRule="auto"/>
        <w:rPr>
          <w:rFonts w:ascii="Verdana" w:hAnsi="Verdana" w:cs="Arial"/>
        </w:rPr>
      </w:pPr>
      <w:r w:rsidRPr="004445AE">
        <w:rPr>
          <w:rFonts w:ascii="Verdana" w:hAnsi="Verdana" w:cs="Arial"/>
        </w:rPr>
        <w:t xml:space="preserve">RAMA JUDICIAL DEL PODER PÚBLICO  </w:t>
      </w:r>
    </w:p>
    <w:p w14:paraId="3B9D36E3" w14:textId="7611474A" w:rsidR="007D0EEE" w:rsidRPr="004445AE" w:rsidRDefault="007D0EEE" w:rsidP="00AE0734">
      <w:pPr>
        <w:spacing w:after="0" w:line="276" w:lineRule="auto"/>
        <w:jc w:val="center"/>
        <w:rPr>
          <w:rFonts w:ascii="Verdana" w:hAnsi="Verdana" w:cs="Segoe UI"/>
          <w:b/>
          <w:noProof/>
          <w:lang w:val="es-ES"/>
        </w:rPr>
      </w:pPr>
    </w:p>
    <w:p w14:paraId="194F6920" w14:textId="64002ED3" w:rsidR="007D0EEE" w:rsidRPr="004445AE" w:rsidRDefault="007D0EEE" w:rsidP="00AE0734">
      <w:pPr>
        <w:pStyle w:val="Descripcin"/>
        <w:spacing w:line="276" w:lineRule="auto"/>
        <w:rPr>
          <w:rFonts w:ascii="Verdana" w:hAnsi="Verdana" w:cs="Arial"/>
          <w:i w:val="0"/>
          <w:iCs w:val="0"/>
          <w:sz w:val="22"/>
          <w:szCs w:val="22"/>
        </w:rPr>
      </w:pPr>
      <w:r w:rsidRPr="004445AE">
        <w:rPr>
          <w:rFonts w:ascii="Verdana" w:hAnsi="Verdana" w:cs="Arial"/>
          <w:i w:val="0"/>
          <w:iCs w:val="0"/>
          <w:sz w:val="22"/>
          <w:szCs w:val="22"/>
        </w:rPr>
        <w:t xml:space="preserve">TRIBUNAL ADMINISTRATIVO </w:t>
      </w:r>
    </w:p>
    <w:p w14:paraId="1680AF1E" w14:textId="77777777" w:rsidR="00773287" w:rsidRPr="004445AE" w:rsidRDefault="00773287" w:rsidP="00AE0734">
      <w:pPr>
        <w:spacing w:after="0" w:line="276" w:lineRule="auto"/>
        <w:rPr>
          <w:rFonts w:ascii="Verdana" w:hAnsi="Verdana"/>
          <w:lang w:val="es-ES_tradnl" w:eastAsia="es-ES"/>
        </w:rPr>
      </w:pPr>
    </w:p>
    <w:p w14:paraId="3DD16537" w14:textId="77777777" w:rsidR="00471FE3" w:rsidRPr="004445AE" w:rsidRDefault="00471FE3" w:rsidP="00AE0734">
      <w:pPr>
        <w:pStyle w:val="Piedepgina"/>
        <w:spacing w:line="276" w:lineRule="auto"/>
        <w:jc w:val="center"/>
        <w:rPr>
          <w:rFonts w:ascii="Verdana" w:hAnsi="Verdana"/>
          <w:lang w:val="es-MX"/>
        </w:rPr>
      </w:pPr>
    </w:p>
    <w:p w14:paraId="2524CDEB" w14:textId="1CB7824B" w:rsidR="00471FE3" w:rsidRPr="004445AE" w:rsidRDefault="0049653C" w:rsidP="00AE0734">
      <w:pPr>
        <w:pStyle w:val="Piedepgina"/>
        <w:spacing w:line="276" w:lineRule="auto"/>
        <w:jc w:val="center"/>
        <w:rPr>
          <w:rFonts w:ascii="Verdana" w:hAnsi="Verdana"/>
          <w:lang w:val="es-MX"/>
        </w:rPr>
      </w:pPr>
      <w:r w:rsidRPr="004445AE">
        <w:rPr>
          <w:rFonts w:ascii="Verdana" w:hAnsi="Verdana"/>
          <w:lang w:val="es-MX"/>
        </w:rPr>
        <w:t>Villavicencio</w:t>
      </w:r>
      <w:r w:rsidR="00471FE3" w:rsidRPr="004445AE">
        <w:rPr>
          <w:rFonts w:ascii="Verdana" w:hAnsi="Verdana"/>
          <w:lang w:val="es-MX"/>
        </w:rPr>
        <w:t>,</w:t>
      </w:r>
      <w:r w:rsidR="000000E1" w:rsidRPr="004445AE">
        <w:rPr>
          <w:rFonts w:ascii="Verdana" w:hAnsi="Verdana"/>
          <w:lang w:val="es-MX"/>
        </w:rPr>
        <w:t xml:space="preserve"> tres (3) de septiembre</w:t>
      </w:r>
      <w:r w:rsidR="00773287" w:rsidRPr="004445AE">
        <w:rPr>
          <w:rFonts w:ascii="Verdana" w:hAnsi="Verdana"/>
          <w:lang w:val="es-MX"/>
        </w:rPr>
        <w:t xml:space="preserve"> de </w:t>
      </w:r>
      <w:proofErr w:type="gramStart"/>
      <w:r w:rsidR="00773287" w:rsidRPr="004445AE">
        <w:rPr>
          <w:rFonts w:ascii="Verdana" w:hAnsi="Verdana"/>
          <w:lang w:val="es-MX"/>
        </w:rPr>
        <w:t xml:space="preserve">dos mil </w:t>
      </w:r>
      <w:r w:rsidR="00AE0734" w:rsidRPr="004445AE">
        <w:rPr>
          <w:rFonts w:ascii="Verdana" w:hAnsi="Verdana"/>
          <w:lang w:val="es-MX"/>
        </w:rPr>
        <w:t>veintiuno</w:t>
      </w:r>
      <w:proofErr w:type="gramEnd"/>
      <w:r w:rsidR="00AE0734" w:rsidRPr="004445AE">
        <w:rPr>
          <w:rFonts w:ascii="Verdana" w:hAnsi="Verdana"/>
          <w:lang w:val="es-MX"/>
        </w:rPr>
        <w:t xml:space="preserve"> </w:t>
      </w:r>
      <w:r w:rsidR="00773287" w:rsidRPr="004445AE">
        <w:rPr>
          <w:rFonts w:ascii="Verdana" w:hAnsi="Verdana"/>
          <w:lang w:val="es-MX"/>
        </w:rPr>
        <w:t>(20</w:t>
      </w:r>
      <w:r w:rsidR="00AE0734" w:rsidRPr="004445AE">
        <w:rPr>
          <w:rFonts w:ascii="Verdana" w:hAnsi="Verdana"/>
          <w:lang w:val="es-MX"/>
        </w:rPr>
        <w:t>21</w:t>
      </w:r>
      <w:r w:rsidR="00773287" w:rsidRPr="004445AE">
        <w:rPr>
          <w:rFonts w:ascii="Verdana" w:hAnsi="Verdana"/>
          <w:lang w:val="es-MX"/>
        </w:rPr>
        <w:t>)</w:t>
      </w:r>
    </w:p>
    <w:p w14:paraId="0FFC692C" w14:textId="77777777" w:rsidR="00471FE3" w:rsidRPr="004445AE" w:rsidRDefault="00471FE3" w:rsidP="00AE0734">
      <w:pPr>
        <w:pStyle w:val="Ttulo1"/>
        <w:spacing w:line="276" w:lineRule="auto"/>
        <w:jc w:val="left"/>
        <w:rPr>
          <w:rFonts w:ascii="Verdana" w:hAnsi="Verdana" w:cs="Segoe UI"/>
          <w:sz w:val="22"/>
          <w:szCs w:val="22"/>
        </w:rPr>
      </w:pPr>
      <w:r w:rsidRPr="004445AE">
        <w:rPr>
          <w:rFonts w:ascii="Verdana" w:hAnsi="Verdana" w:cs="Segoe UI"/>
          <w:sz w:val="22"/>
          <w:szCs w:val="22"/>
          <w:lang w:val="es-MX"/>
        </w:rPr>
        <w:t xml:space="preserve"> </w:t>
      </w:r>
    </w:p>
    <w:p w14:paraId="615B6452" w14:textId="68BB83D8" w:rsidR="00471FE3" w:rsidRPr="004445AE" w:rsidRDefault="00471FE3" w:rsidP="007F7E39">
      <w:pPr>
        <w:pBdr>
          <w:top w:val="single" w:sz="4" w:space="1" w:color="auto"/>
          <w:left w:val="single" w:sz="4" w:space="4" w:color="auto"/>
          <w:bottom w:val="single" w:sz="4" w:space="1" w:color="auto"/>
          <w:right w:val="single" w:sz="4" w:space="4" w:color="auto"/>
        </w:pBdr>
        <w:spacing w:after="0" w:line="276" w:lineRule="auto"/>
        <w:ind w:left="2832" w:hanging="2690"/>
        <w:jc w:val="both"/>
        <w:rPr>
          <w:rFonts w:ascii="Verdana" w:hAnsi="Verdana"/>
        </w:rPr>
      </w:pPr>
      <w:r w:rsidRPr="004445AE">
        <w:rPr>
          <w:rFonts w:ascii="Verdana" w:hAnsi="Verdana"/>
          <w:b/>
        </w:rPr>
        <w:t xml:space="preserve">REFERENCIA:      </w:t>
      </w:r>
      <w:r w:rsidR="005B1A5A">
        <w:rPr>
          <w:rFonts w:ascii="Verdana" w:hAnsi="Verdana"/>
          <w:b/>
        </w:rPr>
        <w:tab/>
      </w:r>
      <w:r w:rsidR="00E307E1" w:rsidRPr="004445AE">
        <w:rPr>
          <w:rFonts w:ascii="Verdana" w:hAnsi="Verdana"/>
        </w:rPr>
        <w:t>NULIDAD Y RESTABLECIMIENTO DEL DERECHO</w:t>
      </w:r>
    </w:p>
    <w:p w14:paraId="0A24857E" w14:textId="05208F28" w:rsidR="00471FE3" w:rsidRPr="004445AE" w:rsidRDefault="00471FE3" w:rsidP="007F7E39">
      <w:pPr>
        <w:pBdr>
          <w:top w:val="single" w:sz="4" w:space="1" w:color="auto"/>
          <w:left w:val="single" w:sz="4" w:space="4" w:color="auto"/>
          <w:bottom w:val="single" w:sz="4" w:space="1" w:color="auto"/>
          <w:right w:val="single" w:sz="4" w:space="4" w:color="auto"/>
        </w:pBdr>
        <w:spacing w:after="0" w:line="276" w:lineRule="auto"/>
        <w:ind w:left="142"/>
        <w:jc w:val="both"/>
        <w:rPr>
          <w:rFonts w:ascii="Verdana" w:hAnsi="Verdana"/>
        </w:rPr>
      </w:pPr>
      <w:r w:rsidRPr="004445AE">
        <w:rPr>
          <w:rFonts w:ascii="Verdana" w:hAnsi="Verdana"/>
          <w:b/>
        </w:rPr>
        <w:t xml:space="preserve">DEMANDANTE: </w:t>
      </w:r>
      <w:r w:rsidR="00237E7E" w:rsidRPr="004445AE">
        <w:rPr>
          <w:rFonts w:ascii="Verdana" w:hAnsi="Verdana"/>
          <w:b/>
        </w:rPr>
        <w:t xml:space="preserve"> </w:t>
      </w:r>
      <w:r w:rsidR="007F7E39" w:rsidRPr="004445AE">
        <w:rPr>
          <w:rFonts w:ascii="Verdana" w:hAnsi="Verdana"/>
          <w:b/>
        </w:rPr>
        <w:t xml:space="preserve">  </w:t>
      </w:r>
      <w:r w:rsidR="005B1A5A">
        <w:rPr>
          <w:rFonts w:ascii="Verdana" w:hAnsi="Verdana"/>
          <w:b/>
        </w:rPr>
        <w:tab/>
      </w:r>
      <w:r w:rsidR="00C02F87" w:rsidRPr="004445AE">
        <w:rPr>
          <w:rFonts w:ascii="Verdana" w:hAnsi="Verdana"/>
        </w:rPr>
        <w:t>TELECOMUNICACIONES</w:t>
      </w:r>
      <w:r w:rsidR="000000E1" w:rsidRPr="004445AE">
        <w:rPr>
          <w:rFonts w:ascii="Verdana" w:hAnsi="Verdana"/>
        </w:rPr>
        <w:t xml:space="preserve"> COLOMBIA</w:t>
      </w:r>
    </w:p>
    <w:p w14:paraId="2580DDD0" w14:textId="7CBDEC14" w:rsidR="007F7E39" w:rsidRPr="004445AE" w:rsidRDefault="00471FE3" w:rsidP="007F7E39">
      <w:pPr>
        <w:pBdr>
          <w:top w:val="single" w:sz="4" w:space="1" w:color="auto"/>
          <w:left w:val="single" w:sz="4" w:space="4" w:color="auto"/>
          <w:bottom w:val="single" w:sz="4" w:space="1" w:color="auto"/>
          <w:right w:val="single" w:sz="4" w:space="4" w:color="auto"/>
        </w:pBdr>
        <w:spacing w:after="0" w:line="276" w:lineRule="auto"/>
        <w:ind w:left="2832" w:hanging="2690"/>
        <w:jc w:val="both"/>
        <w:rPr>
          <w:rFonts w:ascii="Verdana" w:hAnsi="Verdana"/>
        </w:rPr>
      </w:pPr>
      <w:r w:rsidRPr="004445AE">
        <w:rPr>
          <w:rFonts w:ascii="Verdana" w:hAnsi="Verdana"/>
          <w:b/>
        </w:rPr>
        <w:t xml:space="preserve">DEMANDADO: </w:t>
      </w:r>
      <w:r w:rsidR="007F7E39" w:rsidRPr="004445AE">
        <w:rPr>
          <w:rFonts w:ascii="Verdana" w:hAnsi="Verdana"/>
          <w:b/>
        </w:rPr>
        <w:t xml:space="preserve">    </w:t>
      </w:r>
      <w:r w:rsidR="00F3184B" w:rsidRPr="004445AE">
        <w:rPr>
          <w:rFonts w:ascii="Verdana" w:hAnsi="Verdana"/>
          <w:b/>
        </w:rPr>
        <w:t xml:space="preserve"> </w:t>
      </w:r>
      <w:r w:rsidR="005B1A5A">
        <w:rPr>
          <w:rFonts w:ascii="Verdana" w:hAnsi="Verdana"/>
          <w:b/>
        </w:rPr>
        <w:tab/>
      </w:r>
      <w:r w:rsidR="00C02F87" w:rsidRPr="004445AE">
        <w:rPr>
          <w:rFonts w:ascii="Verdana" w:hAnsi="Verdana"/>
          <w:bCs/>
        </w:rPr>
        <w:t xml:space="preserve">MUNICIPIO </w:t>
      </w:r>
      <w:r w:rsidR="000000E1" w:rsidRPr="004445AE">
        <w:rPr>
          <w:rFonts w:ascii="Verdana" w:hAnsi="Verdana"/>
          <w:bCs/>
        </w:rPr>
        <w:t>LA ALEGRÍA</w:t>
      </w:r>
    </w:p>
    <w:p w14:paraId="353B1BA9" w14:textId="1D16A9B6" w:rsidR="007F7E39" w:rsidRPr="004445AE" w:rsidRDefault="00471FE3" w:rsidP="00543E78">
      <w:pPr>
        <w:pBdr>
          <w:top w:val="single" w:sz="4" w:space="1" w:color="auto"/>
          <w:left w:val="single" w:sz="4" w:space="4" w:color="auto"/>
          <w:bottom w:val="single" w:sz="4" w:space="1" w:color="auto"/>
          <w:right w:val="single" w:sz="4" w:space="4" w:color="auto"/>
        </w:pBdr>
        <w:spacing w:after="0" w:line="276" w:lineRule="auto"/>
        <w:ind w:left="2832" w:hanging="2690"/>
        <w:jc w:val="both"/>
        <w:rPr>
          <w:rFonts w:ascii="Verdana" w:hAnsi="Verdana" w:cs="Segoe UI"/>
        </w:rPr>
      </w:pPr>
      <w:r w:rsidRPr="004445AE">
        <w:rPr>
          <w:rFonts w:ascii="Verdana" w:hAnsi="Verdana"/>
          <w:b/>
        </w:rPr>
        <w:t>RADICACIÓN</w:t>
      </w:r>
      <w:r w:rsidRPr="004445AE">
        <w:rPr>
          <w:rFonts w:ascii="Verdana" w:hAnsi="Verdana"/>
        </w:rPr>
        <w:t xml:space="preserve">:    </w:t>
      </w:r>
      <w:r w:rsidR="007F7E39" w:rsidRPr="004445AE">
        <w:rPr>
          <w:rFonts w:ascii="Verdana" w:hAnsi="Verdana"/>
        </w:rPr>
        <w:t xml:space="preserve">  </w:t>
      </w:r>
      <w:r w:rsidR="00237E7E" w:rsidRPr="004445AE">
        <w:rPr>
          <w:rFonts w:ascii="Verdana" w:hAnsi="Verdana"/>
        </w:rPr>
        <w:t xml:space="preserve"> </w:t>
      </w:r>
      <w:r w:rsidR="005B1A5A">
        <w:rPr>
          <w:rFonts w:ascii="Verdana" w:hAnsi="Verdana"/>
        </w:rPr>
        <w:tab/>
      </w:r>
      <w:r w:rsidR="00C02F87" w:rsidRPr="004445AE">
        <w:rPr>
          <w:rFonts w:ascii="Verdana" w:hAnsi="Verdana"/>
        </w:rPr>
        <w:t>50001-</w:t>
      </w:r>
      <w:r w:rsidR="000000E1" w:rsidRPr="004445AE">
        <w:rPr>
          <w:rFonts w:ascii="Verdana" w:hAnsi="Verdana"/>
        </w:rPr>
        <w:t>53</w:t>
      </w:r>
      <w:r w:rsidR="00C02F87" w:rsidRPr="004445AE">
        <w:rPr>
          <w:rFonts w:ascii="Verdana" w:hAnsi="Verdana"/>
        </w:rPr>
        <w:t>-33-000-20</w:t>
      </w:r>
      <w:r w:rsidR="000000E1" w:rsidRPr="004445AE">
        <w:rPr>
          <w:rFonts w:ascii="Verdana" w:hAnsi="Verdana"/>
        </w:rPr>
        <w:t>20</w:t>
      </w:r>
      <w:r w:rsidR="00C02F87" w:rsidRPr="004445AE">
        <w:rPr>
          <w:rFonts w:ascii="Verdana" w:hAnsi="Verdana"/>
        </w:rPr>
        <w:t>-00189-0</w:t>
      </w:r>
      <w:r w:rsidR="000000E1" w:rsidRPr="004445AE">
        <w:rPr>
          <w:rFonts w:ascii="Verdana" w:hAnsi="Verdana"/>
        </w:rPr>
        <w:t>0</w:t>
      </w:r>
    </w:p>
    <w:p w14:paraId="010CB8DE" w14:textId="77777777" w:rsidR="00543E78" w:rsidRPr="004445AE" w:rsidRDefault="00543E78" w:rsidP="00AE0734">
      <w:pPr>
        <w:pStyle w:val="Sangradetextonormal"/>
        <w:tabs>
          <w:tab w:val="left" w:pos="1701"/>
        </w:tabs>
        <w:spacing w:after="0" w:line="276" w:lineRule="auto"/>
        <w:ind w:left="0"/>
        <w:jc w:val="both"/>
        <w:rPr>
          <w:rFonts w:ascii="Verdana" w:hAnsi="Verdana" w:cs="Segoe UI"/>
          <w:sz w:val="22"/>
          <w:szCs w:val="22"/>
        </w:rPr>
      </w:pPr>
    </w:p>
    <w:p w14:paraId="10948113" w14:textId="0631B804" w:rsidR="005F13C7" w:rsidRPr="004445AE" w:rsidRDefault="001B1E5D" w:rsidP="005F13C7">
      <w:pPr>
        <w:pStyle w:val="Sangradetextonormal"/>
        <w:tabs>
          <w:tab w:val="left" w:pos="1701"/>
        </w:tabs>
        <w:spacing w:after="0" w:line="276" w:lineRule="auto"/>
        <w:ind w:left="0"/>
        <w:jc w:val="both"/>
        <w:rPr>
          <w:rFonts w:ascii="Verdana" w:hAnsi="Verdana" w:cs="Segoe UI"/>
          <w:sz w:val="22"/>
          <w:szCs w:val="22"/>
          <w:lang w:val="es-CO"/>
        </w:rPr>
      </w:pPr>
      <w:r w:rsidRPr="004445AE">
        <w:rPr>
          <w:rFonts w:ascii="Verdana" w:hAnsi="Verdana" w:cs="Segoe UI"/>
          <w:sz w:val="22"/>
          <w:szCs w:val="22"/>
        </w:rPr>
        <w:t>Revisado</w:t>
      </w:r>
      <w:r w:rsidR="005F13C7" w:rsidRPr="004445AE">
        <w:rPr>
          <w:rFonts w:ascii="Verdana" w:hAnsi="Verdana" w:cs="Segoe UI"/>
          <w:sz w:val="22"/>
          <w:szCs w:val="22"/>
        </w:rPr>
        <w:t xml:space="preserve"> el expediente, se observa que, </w:t>
      </w:r>
      <w:r w:rsidR="000000E1" w:rsidRPr="004445AE">
        <w:rPr>
          <w:rFonts w:ascii="Verdana" w:hAnsi="Verdana" w:cs="Segoe UI"/>
          <w:sz w:val="22"/>
          <w:szCs w:val="22"/>
        </w:rPr>
        <w:t>la entidad demandada contestó en término la demanda</w:t>
      </w:r>
      <w:r w:rsidR="004445AE" w:rsidRPr="004445AE">
        <w:rPr>
          <w:rFonts w:ascii="Verdana" w:hAnsi="Verdana" w:cs="Segoe UI"/>
          <w:sz w:val="22"/>
          <w:szCs w:val="22"/>
        </w:rPr>
        <w:t>, no presentó excepciones previas, ni mixtas, como tampoco se evidencia solicitud de pruebas diferentes a las documentales.</w:t>
      </w:r>
    </w:p>
    <w:p w14:paraId="609B1D2D" w14:textId="39BB3FFC" w:rsidR="000503E9" w:rsidRPr="004445AE" w:rsidRDefault="000503E9" w:rsidP="005F13C7">
      <w:pPr>
        <w:pStyle w:val="Sangradetextonormal"/>
        <w:tabs>
          <w:tab w:val="left" w:pos="1701"/>
        </w:tabs>
        <w:spacing w:after="0" w:line="276" w:lineRule="auto"/>
        <w:ind w:left="0"/>
        <w:jc w:val="both"/>
        <w:rPr>
          <w:rFonts w:ascii="Verdana" w:hAnsi="Verdana" w:cs="Segoe UI"/>
          <w:sz w:val="22"/>
          <w:szCs w:val="22"/>
          <w:lang w:val="es-CO"/>
        </w:rPr>
      </w:pPr>
    </w:p>
    <w:p w14:paraId="1512BDC7" w14:textId="14B22028" w:rsidR="000503E9" w:rsidRPr="004445AE" w:rsidRDefault="00E52D01" w:rsidP="000503E9">
      <w:pPr>
        <w:pStyle w:val="Sangradetextonormal"/>
        <w:tabs>
          <w:tab w:val="left" w:pos="1701"/>
        </w:tabs>
        <w:spacing w:after="0" w:line="276" w:lineRule="auto"/>
        <w:ind w:left="0"/>
        <w:jc w:val="both"/>
        <w:rPr>
          <w:rFonts w:ascii="Verdana" w:hAnsi="Verdana" w:cs="Segoe UI"/>
          <w:sz w:val="22"/>
          <w:szCs w:val="22"/>
          <w:lang w:val="es-CO"/>
        </w:rPr>
      </w:pPr>
      <w:r w:rsidRPr="004445AE">
        <w:rPr>
          <w:rFonts w:ascii="Verdana" w:hAnsi="Verdana" w:cs="Segoe UI"/>
          <w:sz w:val="22"/>
          <w:szCs w:val="22"/>
          <w:lang w:val="es-CO"/>
        </w:rPr>
        <w:t>Con el fin de agilizar los procesos judiciales, e</w:t>
      </w:r>
      <w:r w:rsidR="000503E9" w:rsidRPr="004445AE">
        <w:rPr>
          <w:rFonts w:ascii="Verdana" w:hAnsi="Verdana" w:cs="Segoe UI"/>
          <w:sz w:val="22"/>
          <w:szCs w:val="22"/>
          <w:lang w:val="es-CO"/>
        </w:rPr>
        <w:t>l artículo 42 dela Ley 2080 de 2021, que adicionó el artículo 182A del C</w:t>
      </w:r>
      <w:r w:rsidRPr="004445AE">
        <w:rPr>
          <w:rFonts w:ascii="Verdana" w:hAnsi="Verdana" w:cs="Segoe UI"/>
          <w:sz w:val="22"/>
          <w:szCs w:val="22"/>
          <w:lang w:val="es-CO"/>
        </w:rPr>
        <w:t>PACA, estableció en el numeral 1</w:t>
      </w:r>
      <w:r w:rsidR="00932FFB" w:rsidRPr="004445AE">
        <w:rPr>
          <w:rFonts w:ascii="Verdana" w:hAnsi="Verdana" w:cs="Segoe UI"/>
          <w:sz w:val="22"/>
          <w:szCs w:val="22"/>
          <w:lang w:val="es-CO"/>
        </w:rPr>
        <w:t>)</w:t>
      </w:r>
      <w:r w:rsidR="000503E9" w:rsidRPr="004445AE">
        <w:rPr>
          <w:rFonts w:ascii="Verdana" w:hAnsi="Verdana" w:cs="Segoe UI"/>
          <w:sz w:val="22"/>
          <w:szCs w:val="22"/>
          <w:lang w:val="es-CO"/>
        </w:rPr>
        <w:t xml:space="preserve"> la posibilidad de dictar sentencia anticipada antes de la audiencia inicial</w:t>
      </w:r>
      <w:r w:rsidRPr="004445AE">
        <w:rPr>
          <w:rFonts w:ascii="Verdana" w:hAnsi="Verdana" w:cs="Segoe UI"/>
          <w:sz w:val="22"/>
          <w:szCs w:val="22"/>
          <w:lang w:val="es-CO"/>
        </w:rPr>
        <w:t>, en los siguientes eventos:</w:t>
      </w:r>
      <w:r w:rsidRPr="004445AE">
        <w:rPr>
          <w:rFonts w:ascii="Verdana" w:hAnsi="Verdana" w:cs="Segoe UI"/>
          <w:i/>
          <w:sz w:val="22"/>
          <w:szCs w:val="22"/>
          <w:lang w:val="es-CO"/>
        </w:rPr>
        <w:t xml:space="preserve"> </w:t>
      </w:r>
      <w:r w:rsidRPr="004445AE">
        <w:rPr>
          <w:rFonts w:ascii="Verdana" w:hAnsi="Verdana" w:cs="Segoe UI"/>
          <w:i/>
          <w:iCs/>
          <w:sz w:val="22"/>
          <w:szCs w:val="22"/>
          <w:lang w:val="es-CO"/>
        </w:rPr>
        <w:t xml:space="preserve"> </w:t>
      </w:r>
      <w:r w:rsidR="000503E9" w:rsidRPr="004445AE">
        <w:rPr>
          <w:rFonts w:ascii="Verdana" w:hAnsi="Verdana" w:cs="Segoe UI"/>
          <w:i/>
          <w:iCs/>
          <w:sz w:val="22"/>
          <w:szCs w:val="22"/>
          <w:lang w:val="es-CO"/>
        </w:rPr>
        <w:t xml:space="preserve">b) Cuando no haya que practicar pruebas”, </w:t>
      </w:r>
      <w:r w:rsidR="000503E9" w:rsidRPr="004445AE">
        <w:rPr>
          <w:rFonts w:ascii="Verdana" w:hAnsi="Verdana" w:cs="Segoe UI"/>
          <w:i/>
          <w:sz w:val="22"/>
          <w:szCs w:val="22"/>
          <w:lang w:val="es-CO"/>
        </w:rPr>
        <w:t>y</w:t>
      </w:r>
      <w:r w:rsidR="000503E9" w:rsidRPr="004445AE">
        <w:rPr>
          <w:rFonts w:ascii="Verdana" w:hAnsi="Verdana" w:cs="Segoe UI"/>
          <w:i/>
          <w:iCs/>
          <w:sz w:val="22"/>
          <w:szCs w:val="22"/>
          <w:lang w:val="es-CO"/>
        </w:rPr>
        <w:t xml:space="preserve"> “d) Cuando se solicite tener como pruebas las documentales aportadas con la demanda y la contestación, y sobre ellas no se hubiera formulado tacha o desconocimiento”.</w:t>
      </w:r>
      <w:r w:rsidR="000503E9" w:rsidRPr="004445AE">
        <w:rPr>
          <w:rFonts w:ascii="Verdana" w:hAnsi="Verdana" w:cs="Segoe UI"/>
          <w:i/>
          <w:sz w:val="22"/>
          <w:szCs w:val="22"/>
          <w:lang w:val="es-CO"/>
        </w:rPr>
        <w:t xml:space="preserve"> </w:t>
      </w:r>
    </w:p>
    <w:p w14:paraId="3D62DF06" w14:textId="77777777" w:rsidR="000503E9" w:rsidRPr="004445AE" w:rsidRDefault="000503E9" w:rsidP="005F13C7">
      <w:pPr>
        <w:pStyle w:val="Sangradetextonormal"/>
        <w:tabs>
          <w:tab w:val="left" w:pos="1701"/>
        </w:tabs>
        <w:spacing w:after="0" w:line="276" w:lineRule="auto"/>
        <w:ind w:left="0"/>
        <w:jc w:val="both"/>
        <w:rPr>
          <w:rFonts w:ascii="Verdana" w:hAnsi="Verdana" w:cs="Segoe UI"/>
          <w:sz w:val="22"/>
          <w:szCs w:val="22"/>
        </w:rPr>
      </w:pPr>
    </w:p>
    <w:p w14:paraId="2C3E127F" w14:textId="2E73B60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r w:rsidRPr="004445AE">
        <w:rPr>
          <w:rFonts w:ascii="Verdana" w:hAnsi="Verdana" w:cs="Segoe UI"/>
          <w:sz w:val="22"/>
          <w:szCs w:val="22"/>
          <w:lang w:val="es-CO"/>
        </w:rPr>
        <w:t>Entonces, teniendo en cuenta que, en el presente asunto</w:t>
      </w:r>
      <w:r w:rsidR="0037012B" w:rsidRPr="004445AE">
        <w:rPr>
          <w:rFonts w:ascii="Verdana" w:hAnsi="Verdana" w:cs="Segoe UI"/>
          <w:sz w:val="22"/>
          <w:szCs w:val="22"/>
          <w:lang w:val="es-CO"/>
        </w:rPr>
        <w:t xml:space="preserve"> no</w:t>
      </w:r>
      <w:r w:rsidR="00A97146" w:rsidRPr="004445AE">
        <w:rPr>
          <w:rFonts w:ascii="Verdana" w:hAnsi="Verdana" w:cs="Segoe UI"/>
          <w:sz w:val="22"/>
          <w:szCs w:val="22"/>
          <w:lang w:val="es-CO"/>
        </w:rPr>
        <w:t xml:space="preserve"> hay </w:t>
      </w:r>
      <w:r w:rsidR="00932FFB" w:rsidRPr="004445AE">
        <w:rPr>
          <w:rFonts w:ascii="Verdana" w:hAnsi="Verdana" w:cs="Segoe UI"/>
          <w:sz w:val="22"/>
          <w:szCs w:val="22"/>
          <w:lang w:val="es-CO"/>
        </w:rPr>
        <w:t xml:space="preserve">excepciones </w:t>
      </w:r>
      <w:r w:rsidR="00A97146" w:rsidRPr="004445AE">
        <w:rPr>
          <w:rFonts w:ascii="Verdana" w:hAnsi="Verdana" w:cs="Segoe UI"/>
          <w:sz w:val="22"/>
          <w:szCs w:val="22"/>
          <w:lang w:val="es-CO"/>
        </w:rPr>
        <w:t>previas</w:t>
      </w:r>
      <w:r w:rsidR="00932FFB" w:rsidRPr="004445AE">
        <w:rPr>
          <w:rFonts w:ascii="Verdana" w:hAnsi="Verdana" w:cs="Segoe UI"/>
          <w:sz w:val="22"/>
          <w:szCs w:val="22"/>
          <w:lang w:val="es-CO"/>
        </w:rPr>
        <w:t>,</w:t>
      </w:r>
      <w:r w:rsidR="00A97146" w:rsidRPr="004445AE">
        <w:rPr>
          <w:rFonts w:ascii="Verdana" w:hAnsi="Verdana" w:cs="Segoe UI"/>
          <w:sz w:val="22"/>
          <w:szCs w:val="22"/>
          <w:lang w:val="es-CO"/>
        </w:rPr>
        <w:t xml:space="preserve"> ni mixtas que deban resolverse en los términos previstos en el parágrafo 2º del artículo 175 del CPACA, </w:t>
      </w:r>
      <w:r w:rsidR="00932FFB" w:rsidRPr="004445AE">
        <w:rPr>
          <w:rFonts w:ascii="Verdana" w:hAnsi="Verdana" w:cs="Segoe UI"/>
          <w:sz w:val="22"/>
          <w:szCs w:val="22"/>
          <w:lang w:val="es-CO"/>
        </w:rPr>
        <w:t xml:space="preserve">el Despacho encuentra que </w:t>
      </w:r>
      <w:r w:rsidR="0037012B" w:rsidRPr="004445AE">
        <w:rPr>
          <w:rFonts w:ascii="Verdana" w:hAnsi="Verdana" w:cs="Segoe UI"/>
          <w:sz w:val="22"/>
          <w:szCs w:val="22"/>
          <w:lang w:val="es-CO"/>
        </w:rPr>
        <w:t xml:space="preserve">se cumplen los </w:t>
      </w:r>
      <w:r w:rsidRPr="004445AE">
        <w:rPr>
          <w:rFonts w:ascii="Verdana" w:hAnsi="Verdana" w:cs="Segoe UI"/>
          <w:sz w:val="22"/>
          <w:szCs w:val="22"/>
          <w:lang w:val="es-CO"/>
        </w:rPr>
        <w:t xml:space="preserve">supuestos contenidos en el numeral primero del artículo </w:t>
      </w:r>
      <w:r w:rsidR="00A97146" w:rsidRPr="004445AE">
        <w:rPr>
          <w:rFonts w:ascii="Verdana" w:hAnsi="Verdana" w:cs="Segoe UI"/>
          <w:sz w:val="22"/>
          <w:szCs w:val="22"/>
          <w:lang w:val="es-CO"/>
        </w:rPr>
        <w:t>182A</w:t>
      </w:r>
      <w:r w:rsidRPr="004445AE">
        <w:rPr>
          <w:rFonts w:ascii="Verdana" w:hAnsi="Verdana" w:cs="Segoe UI"/>
          <w:sz w:val="22"/>
          <w:szCs w:val="22"/>
          <w:lang w:val="es-CO"/>
        </w:rPr>
        <w:t xml:space="preserve"> </w:t>
      </w:r>
      <w:r w:rsidRPr="004445AE">
        <w:rPr>
          <w:rFonts w:ascii="Verdana" w:hAnsi="Verdana" w:cs="Segoe UI"/>
          <w:i/>
          <w:iCs/>
          <w:sz w:val="22"/>
          <w:szCs w:val="22"/>
          <w:lang w:val="es-CO"/>
        </w:rPr>
        <w:t>ibídem</w:t>
      </w:r>
      <w:r w:rsidRPr="004445AE">
        <w:rPr>
          <w:rFonts w:ascii="Verdana" w:hAnsi="Verdana" w:cs="Segoe UI"/>
          <w:sz w:val="22"/>
          <w:szCs w:val="22"/>
          <w:lang w:val="es-CO"/>
        </w:rPr>
        <w:t xml:space="preserve"> para proferir sentencia anticipada.</w:t>
      </w:r>
    </w:p>
    <w:p w14:paraId="64585DE3" w14:textId="7777777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p>
    <w:p w14:paraId="2D16BFCF" w14:textId="68A6A768"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r w:rsidRPr="004445AE">
        <w:rPr>
          <w:rFonts w:ascii="Verdana" w:hAnsi="Verdana" w:cs="Segoe UI"/>
          <w:sz w:val="22"/>
          <w:szCs w:val="22"/>
          <w:lang w:val="es-CO"/>
        </w:rPr>
        <w:t>Por lo anterior, y con el fin de garantizar del derecho de contradicción, habrá de  incorporarse al expediente las pruebas documentales aportadas con la demanda</w:t>
      </w:r>
      <w:r w:rsidR="0037012B" w:rsidRPr="004445AE">
        <w:rPr>
          <w:rFonts w:ascii="Verdana" w:hAnsi="Verdana" w:cs="Segoe UI"/>
          <w:sz w:val="22"/>
          <w:szCs w:val="22"/>
          <w:lang w:val="es-CO"/>
        </w:rPr>
        <w:t xml:space="preserve"> y su contestación</w:t>
      </w:r>
      <w:r w:rsidRPr="004445AE">
        <w:rPr>
          <w:rStyle w:val="Refdenotaalpie"/>
          <w:rFonts w:ascii="Verdana" w:hAnsi="Verdana" w:cs="Segoe UI"/>
          <w:sz w:val="22"/>
          <w:szCs w:val="22"/>
          <w:lang w:val="es-CO"/>
        </w:rPr>
        <w:footnoteReference w:id="1"/>
      </w:r>
      <w:r w:rsidRPr="004445AE">
        <w:rPr>
          <w:rFonts w:ascii="Verdana" w:hAnsi="Verdana" w:cs="Segoe UI"/>
          <w:sz w:val="22"/>
          <w:szCs w:val="22"/>
          <w:lang w:val="es-CO"/>
        </w:rPr>
        <w:t>, para que las partes manifiesten sus inconformidades en los términos de</w:t>
      </w:r>
      <w:r w:rsidR="00E77A51">
        <w:rPr>
          <w:rFonts w:ascii="Verdana" w:hAnsi="Verdana" w:cs="Segoe UI"/>
          <w:sz w:val="22"/>
          <w:szCs w:val="22"/>
          <w:lang w:val="es-CO"/>
        </w:rPr>
        <w:t xml:space="preserve"> </w:t>
      </w:r>
      <w:r w:rsidRPr="004445AE">
        <w:rPr>
          <w:rFonts w:ascii="Verdana" w:hAnsi="Verdana" w:cs="Segoe UI"/>
          <w:sz w:val="22"/>
          <w:szCs w:val="22"/>
          <w:lang w:val="es-CO"/>
        </w:rPr>
        <w:t>l</w:t>
      </w:r>
      <w:r w:rsidR="00E77A51">
        <w:rPr>
          <w:rFonts w:ascii="Verdana" w:hAnsi="Verdana" w:cs="Segoe UI"/>
          <w:sz w:val="22"/>
          <w:szCs w:val="22"/>
          <w:lang w:val="es-CO"/>
        </w:rPr>
        <w:t>os</w:t>
      </w:r>
      <w:r w:rsidRPr="004445AE">
        <w:rPr>
          <w:rFonts w:ascii="Verdana" w:hAnsi="Verdana" w:cs="Segoe UI"/>
          <w:sz w:val="22"/>
          <w:szCs w:val="22"/>
          <w:lang w:val="es-CO"/>
        </w:rPr>
        <w:t xml:space="preserve"> artículo</w:t>
      </w:r>
      <w:r w:rsidR="00E77A51">
        <w:rPr>
          <w:rFonts w:ascii="Verdana" w:hAnsi="Verdana" w:cs="Segoe UI"/>
          <w:sz w:val="22"/>
          <w:szCs w:val="22"/>
          <w:lang w:val="es-CO"/>
        </w:rPr>
        <w:t>s</w:t>
      </w:r>
      <w:r w:rsidRPr="004445AE">
        <w:rPr>
          <w:rFonts w:ascii="Verdana" w:hAnsi="Verdana" w:cs="Segoe UI"/>
          <w:sz w:val="22"/>
          <w:szCs w:val="22"/>
          <w:lang w:val="es-CO"/>
        </w:rPr>
        <w:t xml:space="preserve"> </w:t>
      </w:r>
      <w:r w:rsidR="00E77A51">
        <w:rPr>
          <w:rFonts w:ascii="Verdana" w:hAnsi="Verdana" w:cs="Segoe UI"/>
          <w:sz w:val="22"/>
          <w:szCs w:val="22"/>
          <w:lang w:val="es-CO"/>
        </w:rPr>
        <w:t xml:space="preserve">173 y </w:t>
      </w:r>
      <w:r w:rsidRPr="004445AE">
        <w:rPr>
          <w:rFonts w:ascii="Verdana" w:hAnsi="Verdana" w:cs="Segoe UI"/>
          <w:sz w:val="22"/>
          <w:szCs w:val="22"/>
          <w:lang w:val="es-CO"/>
        </w:rPr>
        <w:t xml:space="preserve">269 y siguientes del C.G.P., aplicables por la remisión contemplada en los artículos 211 y 306 del C.P.A.C.A. </w:t>
      </w:r>
    </w:p>
    <w:p w14:paraId="5CC922B7" w14:textId="7777777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p>
    <w:p w14:paraId="6556610A" w14:textId="072E18A5" w:rsidR="005F13C7" w:rsidRPr="004445AE" w:rsidRDefault="005F13C7" w:rsidP="005F13C7">
      <w:pPr>
        <w:pStyle w:val="Sangradetextonormal"/>
        <w:tabs>
          <w:tab w:val="left" w:pos="1701"/>
        </w:tabs>
        <w:spacing w:after="0" w:line="276" w:lineRule="auto"/>
        <w:ind w:left="0"/>
        <w:jc w:val="both"/>
        <w:rPr>
          <w:rFonts w:ascii="Verdana" w:hAnsi="Verdana"/>
          <w:color w:val="000000"/>
          <w:sz w:val="22"/>
          <w:szCs w:val="22"/>
        </w:rPr>
      </w:pPr>
      <w:r w:rsidRPr="004445AE">
        <w:rPr>
          <w:rFonts w:ascii="Verdana" w:hAnsi="Verdana" w:cs="Segoe UI"/>
          <w:sz w:val="22"/>
          <w:szCs w:val="22"/>
          <w:lang w:val="es-CO"/>
        </w:rPr>
        <w:t>En el presente proceso, la totalidad de las pruebas fueron aportadas con la demanda y su contestación. En consecuencia, se procederá a tener por con</w:t>
      </w:r>
      <w:r w:rsidR="0037012B" w:rsidRPr="004445AE">
        <w:rPr>
          <w:rFonts w:ascii="Verdana" w:hAnsi="Verdana" w:cs="Segoe UI"/>
          <w:sz w:val="22"/>
          <w:szCs w:val="22"/>
          <w:lang w:val="es-CO"/>
        </w:rPr>
        <w:t xml:space="preserve">testada la demanda por parte del Municipio de </w:t>
      </w:r>
      <w:r w:rsidR="004445AE" w:rsidRPr="004445AE">
        <w:rPr>
          <w:rFonts w:ascii="Verdana" w:hAnsi="Verdana" w:cs="Segoe UI"/>
          <w:sz w:val="22"/>
          <w:szCs w:val="22"/>
          <w:lang w:val="es-CO"/>
        </w:rPr>
        <w:t>Alegría</w:t>
      </w:r>
      <w:r w:rsidR="0037012B" w:rsidRPr="004445AE">
        <w:rPr>
          <w:rFonts w:ascii="Verdana" w:hAnsi="Verdana" w:cs="Segoe UI"/>
          <w:sz w:val="22"/>
          <w:szCs w:val="22"/>
          <w:lang w:val="es-CO"/>
        </w:rPr>
        <w:t>.</w:t>
      </w:r>
    </w:p>
    <w:p w14:paraId="3DD5969F" w14:textId="77777777" w:rsidR="005F13C7" w:rsidRPr="004445AE" w:rsidRDefault="005F13C7" w:rsidP="005F13C7">
      <w:pPr>
        <w:pStyle w:val="Sangradetextonormal"/>
        <w:tabs>
          <w:tab w:val="left" w:pos="1701"/>
        </w:tabs>
        <w:spacing w:after="0" w:line="276" w:lineRule="auto"/>
        <w:ind w:left="0"/>
        <w:jc w:val="both"/>
        <w:rPr>
          <w:rFonts w:ascii="Verdana" w:hAnsi="Verdana"/>
          <w:color w:val="000000"/>
          <w:sz w:val="22"/>
          <w:szCs w:val="22"/>
        </w:rPr>
      </w:pPr>
    </w:p>
    <w:p w14:paraId="4600315F" w14:textId="5C497C3C"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r w:rsidRPr="004445AE">
        <w:rPr>
          <w:rFonts w:ascii="Verdana" w:hAnsi="Verdana" w:cs="Segoe UI"/>
          <w:sz w:val="22"/>
          <w:szCs w:val="22"/>
          <w:lang w:val="es-CO"/>
        </w:rPr>
        <w:t xml:space="preserve">Finalmente, dando cumplimiento a lo establecido en el artículo 42 de la Ley 2080 de 2021, que incorporó el artículo 182A al C.P.A.C.A., el Despacho estima que el litigio que corresponde resolver al Tribunal Administrativo es determinar: </w:t>
      </w:r>
    </w:p>
    <w:p w14:paraId="1072DAAA" w14:textId="7777777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p>
    <w:p w14:paraId="213B545F" w14:textId="60319724"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r w:rsidRPr="004445AE">
        <w:rPr>
          <w:rFonts w:ascii="Verdana" w:hAnsi="Verdana" w:cs="Segoe UI"/>
          <w:sz w:val="22"/>
          <w:szCs w:val="22"/>
          <w:lang w:val="es-CO"/>
        </w:rPr>
        <w:t>Si</w:t>
      </w:r>
      <w:r w:rsidR="00DD7A0A" w:rsidRPr="004445AE">
        <w:rPr>
          <w:rFonts w:ascii="Verdana" w:hAnsi="Verdana" w:cs="Segoe UI"/>
          <w:sz w:val="22"/>
          <w:szCs w:val="22"/>
          <w:lang w:val="es-CO"/>
        </w:rPr>
        <w:t xml:space="preserve"> </w:t>
      </w:r>
      <w:r w:rsidRPr="004445AE">
        <w:rPr>
          <w:rFonts w:ascii="Verdana" w:hAnsi="Verdana" w:cs="Segoe UI"/>
          <w:sz w:val="22"/>
          <w:szCs w:val="22"/>
          <w:lang w:val="es-CO"/>
        </w:rPr>
        <w:t>está</w:t>
      </w:r>
      <w:r w:rsidR="00DD7A0A" w:rsidRPr="004445AE">
        <w:rPr>
          <w:rFonts w:ascii="Verdana" w:hAnsi="Verdana" w:cs="Segoe UI"/>
          <w:sz w:val="22"/>
          <w:szCs w:val="22"/>
          <w:lang w:val="es-CO"/>
        </w:rPr>
        <w:t>n</w:t>
      </w:r>
      <w:r w:rsidRPr="004445AE">
        <w:rPr>
          <w:rFonts w:ascii="Verdana" w:hAnsi="Verdana" w:cs="Segoe UI"/>
          <w:sz w:val="22"/>
          <w:szCs w:val="22"/>
          <w:lang w:val="es-CO"/>
        </w:rPr>
        <w:t xml:space="preserve"> viciado</w:t>
      </w:r>
      <w:r w:rsidR="00DD7A0A" w:rsidRPr="004445AE">
        <w:rPr>
          <w:rFonts w:ascii="Verdana" w:hAnsi="Verdana" w:cs="Segoe UI"/>
          <w:sz w:val="22"/>
          <w:szCs w:val="22"/>
          <w:lang w:val="es-CO"/>
        </w:rPr>
        <w:t>s</w:t>
      </w:r>
      <w:r w:rsidRPr="004445AE">
        <w:rPr>
          <w:rFonts w:ascii="Verdana" w:hAnsi="Verdana" w:cs="Segoe UI"/>
          <w:sz w:val="22"/>
          <w:szCs w:val="22"/>
          <w:lang w:val="es-CO"/>
        </w:rPr>
        <w:t xml:space="preserve"> de nulidad </w:t>
      </w:r>
      <w:r w:rsidR="00DD7A0A" w:rsidRPr="004445AE">
        <w:rPr>
          <w:rFonts w:ascii="Verdana" w:hAnsi="Verdana" w:cs="Segoe UI"/>
          <w:sz w:val="22"/>
          <w:szCs w:val="22"/>
          <w:lang w:val="es-CO"/>
        </w:rPr>
        <w:t xml:space="preserve">los actos administrativos proferidos por el Municipio </w:t>
      </w:r>
      <w:r w:rsidR="004445AE" w:rsidRPr="004445AE">
        <w:rPr>
          <w:rFonts w:ascii="Verdana" w:hAnsi="Verdana" w:cs="Segoe UI"/>
          <w:sz w:val="22"/>
          <w:szCs w:val="22"/>
          <w:lang w:val="es-CO"/>
        </w:rPr>
        <w:t>de la Alegría</w:t>
      </w:r>
      <w:r w:rsidR="00DD7A0A" w:rsidRPr="004445AE">
        <w:rPr>
          <w:rFonts w:ascii="Verdana" w:hAnsi="Verdana" w:cs="Segoe UI"/>
          <w:sz w:val="22"/>
          <w:szCs w:val="22"/>
          <w:lang w:val="es-CO"/>
        </w:rPr>
        <w:t xml:space="preserve"> mediante los cuales liquidó el impuesto de alumbrado público en contra de </w:t>
      </w:r>
      <w:r w:rsidR="005B1A5A">
        <w:rPr>
          <w:rFonts w:ascii="Verdana" w:hAnsi="Verdana" w:cs="Segoe UI"/>
          <w:sz w:val="22"/>
          <w:szCs w:val="22"/>
          <w:lang w:val="es-CO"/>
        </w:rPr>
        <w:t>T</w:t>
      </w:r>
      <w:r w:rsidR="00DD7A0A" w:rsidRPr="004445AE">
        <w:rPr>
          <w:rFonts w:ascii="Verdana" w:hAnsi="Verdana" w:cs="Segoe UI"/>
          <w:sz w:val="22"/>
          <w:szCs w:val="22"/>
          <w:lang w:val="es-CO"/>
        </w:rPr>
        <w:t>elecomunicaciones</w:t>
      </w:r>
      <w:r w:rsidR="005B1A5A">
        <w:rPr>
          <w:rFonts w:ascii="Verdana" w:hAnsi="Verdana" w:cs="Segoe UI"/>
          <w:sz w:val="22"/>
          <w:szCs w:val="22"/>
          <w:lang w:val="es-CO"/>
        </w:rPr>
        <w:t xml:space="preserve"> Colombia</w:t>
      </w:r>
      <w:r w:rsidR="00932FFB" w:rsidRPr="004445AE">
        <w:rPr>
          <w:rFonts w:ascii="Verdana" w:hAnsi="Verdana" w:cs="Segoe UI"/>
          <w:sz w:val="22"/>
          <w:szCs w:val="22"/>
          <w:lang w:val="es-CO"/>
        </w:rPr>
        <w:t xml:space="preserve"> y aquel </w:t>
      </w:r>
      <w:r w:rsidR="00DD7A0A" w:rsidRPr="004445AE">
        <w:rPr>
          <w:rFonts w:ascii="Verdana" w:hAnsi="Verdana" w:cs="Segoe UI"/>
          <w:sz w:val="22"/>
          <w:szCs w:val="22"/>
          <w:lang w:val="es-CO"/>
        </w:rPr>
        <w:t>que resolvió el recurso de reconsideración</w:t>
      </w:r>
      <w:r w:rsidRPr="004445AE">
        <w:rPr>
          <w:rFonts w:ascii="Verdana" w:hAnsi="Verdana" w:cs="Segoe UI"/>
          <w:sz w:val="22"/>
          <w:szCs w:val="22"/>
          <w:lang w:val="es-CO"/>
        </w:rPr>
        <w:t>, o, si, por el contrario, l</w:t>
      </w:r>
      <w:r w:rsidR="00DD7A0A" w:rsidRPr="004445AE">
        <w:rPr>
          <w:rFonts w:ascii="Verdana" w:hAnsi="Verdana" w:cs="Segoe UI"/>
          <w:sz w:val="22"/>
          <w:szCs w:val="22"/>
          <w:lang w:val="es-CO"/>
        </w:rPr>
        <w:t>os</w:t>
      </w:r>
      <w:r w:rsidRPr="004445AE">
        <w:rPr>
          <w:rFonts w:ascii="Verdana" w:hAnsi="Verdana" w:cs="Segoe UI"/>
          <w:sz w:val="22"/>
          <w:szCs w:val="22"/>
          <w:lang w:val="es-CO"/>
        </w:rPr>
        <w:t xml:space="preserve"> mismo</w:t>
      </w:r>
      <w:r w:rsidR="00DD7A0A" w:rsidRPr="004445AE">
        <w:rPr>
          <w:rFonts w:ascii="Verdana" w:hAnsi="Verdana" w:cs="Segoe UI"/>
          <w:sz w:val="22"/>
          <w:szCs w:val="22"/>
          <w:lang w:val="es-CO"/>
        </w:rPr>
        <w:t>s</w:t>
      </w:r>
      <w:r w:rsidRPr="004445AE">
        <w:rPr>
          <w:rFonts w:ascii="Verdana" w:hAnsi="Verdana" w:cs="Segoe UI"/>
          <w:sz w:val="22"/>
          <w:szCs w:val="22"/>
          <w:lang w:val="es-CO"/>
        </w:rPr>
        <w:t xml:space="preserve"> se encuentra</w:t>
      </w:r>
      <w:r w:rsidR="00DD7A0A" w:rsidRPr="004445AE">
        <w:rPr>
          <w:rFonts w:ascii="Verdana" w:hAnsi="Verdana" w:cs="Segoe UI"/>
          <w:sz w:val="22"/>
          <w:szCs w:val="22"/>
          <w:lang w:val="es-CO"/>
        </w:rPr>
        <w:t>n</w:t>
      </w:r>
      <w:r w:rsidRPr="004445AE">
        <w:rPr>
          <w:rFonts w:ascii="Verdana" w:hAnsi="Verdana" w:cs="Segoe UI"/>
          <w:sz w:val="22"/>
          <w:szCs w:val="22"/>
          <w:lang w:val="es-CO"/>
        </w:rPr>
        <w:t xml:space="preserve"> ajustado</w:t>
      </w:r>
      <w:r w:rsidR="00DD7A0A" w:rsidRPr="004445AE">
        <w:rPr>
          <w:rFonts w:ascii="Verdana" w:hAnsi="Verdana" w:cs="Segoe UI"/>
          <w:sz w:val="22"/>
          <w:szCs w:val="22"/>
          <w:lang w:val="es-CO"/>
        </w:rPr>
        <w:t>s</w:t>
      </w:r>
      <w:r w:rsidRPr="004445AE">
        <w:rPr>
          <w:rFonts w:ascii="Verdana" w:hAnsi="Verdana" w:cs="Segoe UI"/>
          <w:sz w:val="22"/>
          <w:szCs w:val="22"/>
          <w:lang w:val="es-CO"/>
        </w:rPr>
        <w:t xml:space="preserve"> a derecho. </w:t>
      </w:r>
    </w:p>
    <w:p w14:paraId="7C208538" w14:textId="7777777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p>
    <w:p w14:paraId="06A3A4D7" w14:textId="7777777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r w:rsidRPr="004445AE">
        <w:rPr>
          <w:rFonts w:ascii="Verdana" w:hAnsi="Verdana" w:cs="Segoe UI"/>
          <w:sz w:val="22"/>
          <w:szCs w:val="22"/>
          <w:lang w:val="es-CO"/>
        </w:rPr>
        <w:t xml:space="preserve">En virtud de lo anterior, se dará apertura a la etapa probatoria, para lo cual, se dispone decretar, y tener como tales los siguientes medios de prueba, para que una vez recaudada se incorpore la misma, se proceda a correr traslado para alegar a fin de hacer uso de la figura de la sentencia anticipada. </w:t>
      </w:r>
    </w:p>
    <w:p w14:paraId="4EF78A5F" w14:textId="7777777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p>
    <w:p w14:paraId="0984362E" w14:textId="7777777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r w:rsidRPr="004445AE">
        <w:rPr>
          <w:rFonts w:ascii="Verdana" w:hAnsi="Verdana" w:cs="Segoe UI"/>
          <w:sz w:val="22"/>
          <w:szCs w:val="22"/>
          <w:lang w:val="es-CO"/>
        </w:rPr>
        <w:t>Teniendo de presente lo antes indicado, se tendrán como pruebas las siguientes:</w:t>
      </w:r>
    </w:p>
    <w:p w14:paraId="301F4A1E" w14:textId="7777777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p>
    <w:p w14:paraId="3B6B3EB6" w14:textId="2C9351BA" w:rsidR="005F13C7" w:rsidRPr="004445AE" w:rsidRDefault="005F13C7" w:rsidP="005F13C7">
      <w:pPr>
        <w:pStyle w:val="Sangradetextonormal"/>
        <w:tabs>
          <w:tab w:val="left" w:pos="1701"/>
        </w:tabs>
        <w:spacing w:after="0" w:line="276" w:lineRule="auto"/>
        <w:ind w:left="0"/>
        <w:jc w:val="both"/>
        <w:rPr>
          <w:rFonts w:ascii="Verdana" w:hAnsi="Verdana" w:cs="Segoe UI"/>
          <w:b/>
          <w:bCs/>
          <w:sz w:val="22"/>
          <w:szCs w:val="22"/>
          <w:lang w:val="es-CO"/>
        </w:rPr>
      </w:pPr>
      <w:r w:rsidRPr="004445AE">
        <w:rPr>
          <w:rFonts w:ascii="Verdana" w:hAnsi="Verdana" w:cs="Segoe UI"/>
          <w:b/>
          <w:bCs/>
          <w:sz w:val="22"/>
          <w:szCs w:val="22"/>
          <w:lang w:val="es-CO"/>
        </w:rPr>
        <w:t xml:space="preserve">1. </w:t>
      </w:r>
      <w:r w:rsidR="00E80433" w:rsidRPr="004445AE">
        <w:rPr>
          <w:rFonts w:ascii="Verdana" w:hAnsi="Verdana" w:cs="Segoe UI"/>
          <w:b/>
          <w:bCs/>
          <w:sz w:val="22"/>
          <w:szCs w:val="22"/>
          <w:lang w:val="es-CO"/>
        </w:rPr>
        <w:t xml:space="preserve">Parte Demandante </w:t>
      </w:r>
    </w:p>
    <w:p w14:paraId="1C518F7B" w14:textId="7777777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p>
    <w:p w14:paraId="7FFA2078" w14:textId="1BA05C33"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r w:rsidRPr="004445AE">
        <w:rPr>
          <w:rFonts w:ascii="Verdana" w:hAnsi="Verdana" w:cs="Segoe UI"/>
          <w:b/>
          <w:bCs/>
          <w:sz w:val="22"/>
          <w:szCs w:val="22"/>
          <w:lang w:val="es-CO"/>
        </w:rPr>
        <w:t>1.1. Documental aportado con la demanda.</w:t>
      </w:r>
      <w:r w:rsidRPr="004445AE">
        <w:rPr>
          <w:rFonts w:ascii="Verdana" w:hAnsi="Verdana" w:cs="Segoe UI"/>
          <w:sz w:val="22"/>
          <w:szCs w:val="22"/>
          <w:lang w:val="es-CO"/>
        </w:rPr>
        <w:t xml:space="preserve"> </w:t>
      </w:r>
    </w:p>
    <w:p w14:paraId="39BCA40A" w14:textId="7777777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p>
    <w:p w14:paraId="14EDE4A2" w14:textId="77777777"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r w:rsidRPr="004445AE">
        <w:rPr>
          <w:rFonts w:ascii="Verdana" w:hAnsi="Verdana" w:cs="Segoe UI"/>
          <w:sz w:val="22"/>
          <w:szCs w:val="22"/>
          <w:lang w:val="es-CO"/>
        </w:rPr>
        <w:t xml:space="preserve">Se incorporan los documentos aportados con la demanda como anexos, a los que se les dará el valor probatorio que les corresponda en el momento procesal oportuno -artículo 176 C.G.P-. De los mismos se corre traslado a las partes para que manifiesten sus inconformidades en los términos del artículo 269 y siguientes del C.G.P., aplicables por la remisión contemplada en los artículos 211 y 306 del C.P.A.C.A. </w:t>
      </w:r>
    </w:p>
    <w:p w14:paraId="0568DBE5" w14:textId="3628F43A" w:rsidR="005F13C7" w:rsidRPr="004445AE" w:rsidRDefault="005F13C7" w:rsidP="005F13C7">
      <w:pPr>
        <w:pStyle w:val="Sangradetextonormal"/>
        <w:tabs>
          <w:tab w:val="left" w:pos="1701"/>
        </w:tabs>
        <w:spacing w:after="0" w:line="276" w:lineRule="auto"/>
        <w:ind w:left="0"/>
        <w:jc w:val="both"/>
        <w:rPr>
          <w:rFonts w:ascii="Verdana" w:hAnsi="Verdana" w:cs="Segoe UI"/>
          <w:sz w:val="22"/>
          <w:szCs w:val="22"/>
          <w:lang w:val="es-CO"/>
        </w:rPr>
      </w:pPr>
    </w:p>
    <w:p w14:paraId="22C886C8" w14:textId="36575AF4" w:rsidR="005F13C7" w:rsidRPr="004445AE" w:rsidRDefault="005F13C7" w:rsidP="005F13C7">
      <w:pPr>
        <w:pStyle w:val="Sangradetextonormal"/>
        <w:tabs>
          <w:tab w:val="left" w:pos="1701"/>
        </w:tabs>
        <w:spacing w:after="0" w:line="276" w:lineRule="auto"/>
        <w:ind w:left="0"/>
        <w:jc w:val="both"/>
        <w:rPr>
          <w:rFonts w:ascii="Verdana" w:hAnsi="Verdana" w:cs="Segoe UI"/>
          <w:b/>
          <w:bCs/>
          <w:sz w:val="22"/>
          <w:szCs w:val="22"/>
          <w:lang w:val="es-CO"/>
        </w:rPr>
      </w:pPr>
      <w:r w:rsidRPr="004445AE">
        <w:rPr>
          <w:rFonts w:ascii="Verdana" w:hAnsi="Verdana" w:cs="Segoe UI"/>
          <w:b/>
          <w:bCs/>
          <w:sz w:val="22"/>
          <w:szCs w:val="22"/>
          <w:lang w:val="es-CO"/>
        </w:rPr>
        <w:t xml:space="preserve">2. </w:t>
      </w:r>
      <w:r w:rsidR="001B1E5D" w:rsidRPr="004445AE">
        <w:rPr>
          <w:rFonts w:ascii="Verdana" w:hAnsi="Verdana" w:cs="Segoe UI"/>
          <w:b/>
          <w:bCs/>
          <w:sz w:val="22"/>
          <w:szCs w:val="22"/>
          <w:lang w:val="es-CO"/>
        </w:rPr>
        <w:t>Parte Demandada.</w:t>
      </w:r>
    </w:p>
    <w:p w14:paraId="01E76F0B" w14:textId="77777777" w:rsidR="005F13C7" w:rsidRPr="004445AE" w:rsidRDefault="005F13C7" w:rsidP="005F13C7">
      <w:pPr>
        <w:pStyle w:val="Sangradetextonormal"/>
        <w:tabs>
          <w:tab w:val="left" w:pos="1701"/>
        </w:tabs>
        <w:spacing w:after="0" w:line="276" w:lineRule="auto"/>
        <w:ind w:left="0"/>
        <w:jc w:val="both"/>
        <w:rPr>
          <w:rFonts w:ascii="Verdana" w:hAnsi="Verdana" w:cs="Segoe UI"/>
          <w:b/>
          <w:bCs/>
          <w:sz w:val="22"/>
          <w:szCs w:val="22"/>
          <w:lang w:val="es-CO"/>
        </w:rPr>
      </w:pPr>
    </w:p>
    <w:p w14:paraId="5042775E" w14:textId="7C797C4D" w:rsidR="00DD7A0A" w:rsidRPr="004445AE" w:rsidRDefault="00DD7A0A" w:rsidP="00DD7A0A">
      <w:pPr>
        <w:pStyle w:val="Sangradetextonormal"/>
        <w:tabs>
          <w:tab w:val="left" w:pos="1701"/>
        </w:tabs>
        <w:spacing w:after="0" w:line="276" w:lineRule="auto"/>
        <w:ind w:left="0"/>
        <w:jc w:val="both"/>
        <w:rPr>
          <w:rFonts w:ascii="Verdana" w:hAnsi="Verdana" w:cs="Segoe UI"/>
          <w:sz w:val="22"/>
          <w:szCs w:val="22"/>
          <w:lang w:val="es-CO"/>
        </w:rPr>
      </w:pPr>
      <w:r w:rsidRPr="004445AE">
        <w:rPr>
          <w:rFonts w:ascii="Verdana" w:hAnsi="Verdana" w:cs="Segoe UI"/>
          <w:sz w:val="22"/>
          <w:szCs w:val="22"/>
          <w:lang w:val="es-CO"/>
        </w:rPr>
        <w:t>Se incorporan los documentos aportados con la contestación de la demanda como anexo y en medio magnético</w:t>
      </w:r>
      <w:r w:rsidRPr="004445AE">
        <w:rPr>
          <w:rStyle w:val="Refdenotaalpie"/>
          <w:rFonts w:ascii="Verdana" w:hAnsi="Verdana" w:cs="Segoe UI"/>
          <w:sz w:val="22"/>
          <w:szCs w:val="22"/>
          <w:lang w:val="es-CO"/>
        </w:rPr>
        <w:footnoteReference w:id="2"/>
      </w:r>
      <w:r w:rsidRPr="004445AE">
        <w:rPr>
          <w:rFonts w:ascii="Verdana" w:hAnsi="Verdana" w:cs="Segoe UI"/>
          <w:sz w:val="22"/>
          <w:szCs w:val="22"/>
          <w:lang w:val="es-CO"/>
        </w:rPr>
        <w:t>, a los que se les dará el valor probatorio que les corresponda en el momento procesal oportuno -artículo 17</w:t>
      </w:r>
      <w:r w:rsidR="00093A02">
        <w:rPr>
          <w:rFonts w:ascii="Verdana" w:hAnsi="Verdana" w:cs="Segoe UI"/>
          <w:sz w:val="22"/>
          <w:szCs w:val="22"/>
          <w:lang w:val="es-CO"/>
        </w:rPr>
        <w:t>6</w:t>
      </w:r>
      <w:bookmarkStart w:id="0" w:name="_GoBack"/>
      <w:bookmarkEnd w:id="0"/>
      <w:r w:rsidRPr="004445AE">
        <w:rPr>
          <w:rFonts w:ascii="Verdana" w:hAnsi="Verdana" w:cs="Segoe UI"/>
          <w:sz w:val="22"/>
          <w:szCs w:val="22"/>
          <w:lang w:val="es-CO"/>
        </w:rPr>
        <w:t xml:space="preserve"> C.G.P-. De los mismos se corre traslado a las partes para que manifiesten sus inconformidades en los términos del artículo 269 y siguientes del C.G.P., aplicables por la remisión contemplada en los artículos 211 y 306 del C.P.A.C.A. </w:t>
      </w:r>
    </w:p>
    <w:p w14:paraId="3A20D311" w14:textId="6F4896B3" w:rsidR="005F13C7" w:rsidRPr="004445AE" w:rsidRDefault="005F13C7" w:rsidP="005F13C7">
      <w:pPr>
        <w:pStyle w:val="Textoindependienteprimerasangra"/>
        <w:spacing w:after="0" w:line="276" w:lineRule="auto"/>
        <w:ind w:firstLine="0"/>
        <w:jc w:val="both"/>
        <w:rPr>
          <w:rFonts w:ascii="Verdana" w:hAnsi="Verdana" w:cs="Arial"/>
          <w:lang w:val="es-ES"/>
        </w:rPr>
      </w:pPr>
    </w:p>
    <w:p w14:paraId="3E510795" w14:textId="4085447E" w:rsidR="00CA770E" w:rsidRPr="004445AE" w:rsidRDefault="00CA770E" w:rsidP="00CA770E">
      <w:pPr>
        <w:pStyle w:val="Prrafodelista"/>
        <w:tabs>
          <w:tab w:val="left" w:pos="0"/>
        </w:tabs>
        <w:spacing w:line="276" w:lineRule="auto"/>
        <w:ind w:left="0"/>
        <w:jc w:val="both"/>
        <w:rPr>
          <w:rFonts w:ascii="Verdana" w:eastAsia="Arial" w:hAnsi="Verdana" w:cs="Segoe UI"/>
          <w:b/>
          <w:bCs/>
          <w:color w:val="000000"/>
          <w:spacing w:val="0"/>
          <w:sz w:val="22"/>
          <w:szCs w:val="22"/>
          <w:lang w:val="es-ES_tradnl"/>
        </w:rPr>
      </w:pPr>
      <w:r w:rsidRPr="004445AE">
        <w:rPr>
          <w:rFonts w:ascii="Verdana" w:eastAsia="Arial" w:hAnsi="Verdana" w:cs="Segoe UI"/>
          <w:b/>
          <w:bCs/>
          <w:color w:val="000000"/>
          <w:spacing w:val="0"/>
          <w:sz w:val="22"/>
          <w:szCs w:val="22"/>
          <w:lang w:val="es-ES_tradnl"/>
        </w:rPr>
        <w:t xml:space="preserve">3. </w:t>
      </w:r>
      <w:r w:rsidR="001B1E5D" w:rsidRPr="004445AE">
        <w:rPr>
          <w:rFonts w:ascii="Verdana" w:eastAsia="Arial" w:hAnsi="Verdana" w:cs="Segoe UI"/>
          <w:b/>
          <w:bCs/>
          <w:color w:val="000000"/>
          <w:spacing w:val="0"/>
          <w:sz w:val="22"/>
          <w:szCs w:val="22"/>
          <w:lang w:val="es-ES_tradnl"/>
        </w:rPr>
        <w:t>Por el Despacho</w:t>
      </w:r>
      <w:r w:rsidRPr="004445AE">
        <w:rPr>
          <w:rFonts w:ascii="Verdana" w:eastAsia="Arial" w:hAnsi="Verdana" w:cs="Segoe UI"/>
          <w:b/>
          <w:bCs/>
          <w:color w:val="000000"/>
          <w:spacing w:val="0"/>
          <w:sz w:val="22"/>
          <w:szCs w:val="22"/>
          <w:lang w:val="es-ES_tradnl"/>
        </w:rPr>
        <w:t>.</w:t>
      </w:r>
    </w:p>
    <w:p w14:paraId="459CC0D6" w14:textId="77777777" w:rsidR="00CA770E" w:rsidRPr="004445AE" w:rsidRDefault="00CA770E" w:rsidP="00CA770E">
      <w:pPr>
        <w:pStyle w:val="Prrafodelista"/>
        <w:tabs>
          <w:tab w:val="left" w:pos="0"/>
        </w:tabs>
        <w:spacing w:line="276" w:lineRule="auto"/>
        <w:ind w:left="0"/>
        <w:jc w:val="both"/>
        <w:rPr>
          <w:rFonts w:ascii="Verdana" w:eastAsia="Arial" w:hAnsi="Verdana" w:cs="Segoe UI"/>
          <w:b/>
          <w:bCs/>
          <w:color w:val="000000"/>
          <w:spacing w:val="0"/>
          <w:sz w:val="22"/>
          <w:szCs w:val="22"/>
          <w:lang w:val="es-ES_tradnl"/>
        </w:rPr>
      </w:pPr>
    </w:p>
    <w:p w14:paraId="299EA630" w14:textId="6A4DCEAC" w:rsidR="00CA770E" w:rsidRPr="004445AE" w:rsidRDefault="00CA770E" w:rsidP="00CA770E">
      <w:pPr>
        <w:pStyle w:val="Prrafodelista"/>
        <w:tabs>
          <w:tab w:val="left" w:pos="0"/>
        </w:tabs>
        <w:spacing w:line="276" w:lineRule="auto"/>
        <w:ind w:left="0" w:right="51"/>
        <w:jc w:val="both"/>
        <w:rPr>
          <w:rFonts w:ascii="Verdana" w:hAnsi="Verdana" w:cs="Arial"/>
          <w:kern w:val="2"/>
          <w:sz w:val="22"/>
          <w:szCs w:val="22"/>
        </w:rPr>
      </w:pPr>
      <w:r w:rsidRPr="004445AE">
        <w:rPr>
          <w:rFonts w:ascii="Verdana" w:eastAsia="Arial" w:hAnsi="Verdana" w:cs="Segoe UI"/>
          <w:bCs/>
          <w:color w:val="000000"/>
          <w:spacing w:val="0"/>
          <w:sz w:val="22"/>
          <w:szCs w:val="22"/>
          <w:lang w:val="es-ES_tradnl"/>
        </w:rPr>
        <w:t xml:space="preserve">De conformidad con los artículos 180 numeral 10, y 213 del C.P.A.C.A., el Juez tiene la potestad de decretar las pruebas de oficio que </w:t>
      </w:r>
      <w:r w:rsidRPr="004445AE">
        <w:rPr>
          <w:rFonts w:ascii="Verdana" w:eastAsia="Arial" w:hAnsi="Verdana" w:cs="Segoe UI"/>
          <w:bCs/>
          <w:i/>
          <w:color w:val="000000"/>
          <w:spacing w:val="0"/>
          <w:sz w:val="22"/>
          <w:szCs w:val="22"/>
          <w:lang w:val="es-ES_tradnl"/>
        </w:rPr>
        <w:t xml:space="preserve">«considere indispensables para el esclarecimiento de la verdad», </w:t>
      </w:r>
      <w:r w:rsidRPr="004445AE">
        <w:rPr>
          <w:rFonts w:ascii="Verdana" w:eastAsia="Arial" w:hAnsi="Verdana" w:cs="Segoe UI"/>
          <w:bCs/>
          <w:color w:val="000000"/>
          <w:spacing w:val="0"/>
          <w:sz w:val="22"/>
          <w:szCs w:val="22"/>
          <w:lang w:val="es-ES_tradnl"/>
        </w:rPr>
        <w:t xml:space="preserve">de esta manera, dando </w:t>
      </w:r>
      <w:r w:rsidRPr="004445AE">
        <w:rPr>
          <w:rFonts w:ascii="Verdana" w:hAnsi="Verdana" w:cs="Arial"/>
          <w:kern w:val="2"/>
          <w:sz w:val="22"/>
          <w:szCs w:val="22"/>
        </w:rPr>
        <w:t>aplicación al artículo 11 del Decreto 806 de 2020</w:t>
      </w:r>
      <w:r w:rsidRPr="004445AE">
        <w:rPr>
          <w:rStyle w:val="Refdenotaalpie"/>
          <w:rFonts w:ascii="Verdana" w:hAnsi="Verdana" w:cs="Arial"/>
          <w:kern w:val="2"/>
          <w:sz w:val="22"/>
          <w:szCs w:val="22"/>
        </w:rPr>
        <w:footnoteReference w:id="3"/>
      </w:r>
      <w:r w:rsidRPr="004445AE">
        <w:rPr>
          <w:rFonts w:ascii="Verdana" w:hAnsi="Verdana" w:cs="Arial"/>
          <w:kern w:val="2"/>
          <w:sz w:val="22"/>
          <w:szCs w:val="22"/>
        </w:rPr>
        <w:t>, se ordena por Secretaría:</w:t>
      </w:r>
    </w:p>
    <w:p w14:paraId="45FE992B" w14:textId="5346DAB1" w:rsidR="00CA770E" w:rsidRPr="004445AE" w:rsidRDefault="00CA770E" w:rsidP="00CA770E">
      <w:pPr>
        <w:pStyle w:val="Prrafodelista"/>
        <w:tabs>
          <w:tab w:val="left" w:pos="0"/>
        </w:tabs>
        <w:spacing w:line="276" w:lineRule="auto"/>
        <w:ind w:left="0" w:right="51"/>
        <w:jc w:val="both"/>
        <w:rPr>
          <w:rFonts w:ascii="Verdana" w:hAnsi="Verdana" w:cs="Arial"/>
          <w:kern w:val="2"/>
          <w:sz w:val="22"/>
          <w:szCs w:val="22"/>
        </w:rPr>
      </w:pPr>
    </w:p>
    <w:p w14:paraId="60408A7F" w14:textId="2742A481" w:rsidR="00CA770E" w:rsidRPr="004445AE" w:rsidRDefault="00CA770E" w:rsidP="00CA770E">
      <w:pPr>
        <w:pStyle w:val="Prrafodelista"/>
        <w:tabs>
          <w:tab w:val="left" w:pos="0"/>
        </w:tabs>
        <w:spacing w:line="276" w:lineRule="auto"/>
        <w:ind w:left="0" w:right="51"/>
        <w:jc w:val="both"/>
        <w:rPr>
          <w:rFonts w:ascii="Verdana" w:hAnsi="Verdana" w:cs="Arial"/>
          <w:kern w:val="2"/>
          <w:sz w:val="22"/>
          <w:szCs w:val="22"/>
        </w:rPr>
      </w:pPr>
      <w:r w:rsidRPr="004445AE">
        <w:rPr>
          <w:rFonts w:ascii="Verdana" w:hAnsi="Verdana" w:cs="Arial"/>
          <w:kern w:val="2"/>
          <w:sz w:val="22"/>
          <w:szCs w:val="22"/>
        </w:rPr>
        <w:t xml:space="preserve">Oficiar al Municipio </w:t>
      </w:r>
      <w:r w:rsidR="005B1A5A">
        <w:rPr>
          <w:rFonts w:ascii="Verdana" w:hAnsi="Verdana" w:cs="Arial"/>
          <w:kern w:val="2"/>
          <w:sz w:val="22"/>
          <w:szCs w:val="22"/>
        </w:rPr>
        <w:t>de Alegría</w:t>
      </w:r>
      <w:r w:rsidRPr="004445AE">
        <w:rPr>
          <w:rFonts w:ascii="Verdana" w:hAnsi="Verdana" w:cs="Arial"/>
          <w:kern w:val="2"/>
          <w:sz w:val="22"/>
          <w:szCs w:val="22"/>
        </w:rPr>
        <w:t>, para que en el término de diez (10) días, contados a partir del recibo de la comunicación, remita copia de los Acuerdos Municipales No. 09 y No. 021 de 2010.</w:t>
      </w:r>
    </w:p>
    <w:p w14:paraId="4ECA349B" w14:textId="6BFE077E" w:rsidR="00CA770E" w:rsidRPr="004445AE" w:rsidRDefault="00CA770E" w:rsidP="005F13C7">
      <w:pPr>
        <w:pStyle w:val="Textoindependienteprimerasangra"/>
        <w:spacing w:after="0" w:line="276" w:lineRule="auto"/>
        <w:ind w:firstLine="0"/>
        <w:jc w:val="both"/>
        <w:rPr>
          <w:rFonts w:ascii="Verdana" w:hAnsi="Verdana" w:cs="Arial"/>
          <w:lang w:val="es-ES"/>
        </w:rPr>
      </w:pPr>
    </w:p>
    <w:p w14:paraId="184E0DD7" w14:textId="4C1AA305" w:rsidR="005F13C7" w:rsidRPr="004445AE" w:rsidRDefault="00CA770E" w:rsidP="005F13C7">
      <w:pPr>
        <w:pStyle w:val="Textoindependienteprimerasangra"/>
        <w:spacing w:after="0" w:line="276" w:lineRule="auto"/>
        <w:ind w:firstLine="0"/>
        <w:jc w:val="both"/>
        <w:rPr>
          <w:rFonts w:ascii="Verdana" w:hAnsi="Verdana" w:cs="Arial"/>
        </w:rPr>
      </w:pPr>
      <w:r w:rsidRPr="004445AE">
        <w:rPr>
          <w:rFonts w:ascii="Verdana" w:hAnsi="Verdana" w:cs="Arial"/>
          <w:b/>
          <w:bCs/>
        </w:rPr>
        <w:t>4</w:t>
      </w:r>
      <w:r w:rsidR="005F13C7" w:rsidRPr="004445AE">
        <w:rPr>
          <w:rFonts w:ascii="Verdana" w:hAnsi="Verdana" w:cs="Arial"/>
          <w:b/>
          <w:bCs/>
        </w:rPr>
        <w:t xml:space="preserve">. </w:t>
      </w:r>
      <w:r w:rsidR="001B1E5D" w:rsidRPr="004445AE">
        <w:rPr>
          <w:rFonts w:ascii="Verdana" w:hAnsi="Verdana" w:cs="Arial"/>
          <w:b/>
          <w:bCs/>
        </w:rPr>
        <w:t>Otras Disposiciones.</w:t>
      </w:r>
    </w:p>
    <w:p w14:paraId="0575C2B5" w14:textId="49C75B1A" w:rsidR="005F13C7" w:rsidRPr="004445AE" w:rsidRDefault="005F13C7" w:rsidP="005F13C7">
      <w:pPr>
        <w:pStyle w:val="Textoindependienteprimerasangra"/>
        <w:spacing w:after="0" w:line="276" w:lineRule="auto"/>
        <w:ind w:firstLine="0"/>
        <w:jc w:val="both"/>
        <w:rPr>
          <w:rFonts w:ascii="Verdana" w:hAnsi="Verdana" w:cs="Arial"/>
        </w:rPr>
      </w:pPr>
    </w:p>
    <w:p w14:paraId="11BB45D1" w14:textId="77777777" w:rsidR="005F13C7" w:rsidRPr="004445AE" w:rsidRDefault="005F13C7" w:rsidP="005F13C7">
      <w:pPr>
        <w:pStyle w:val="Textoindependienteprimerasangra"/>
        <w:spacing w:after="0" w:line="276" w:lineRule="auto"/>
        <w:ind w:firstLine="0"/>
        <w:jc w:val="both"/>
        <w:rPr>
          <w:rFonts w:ascii="Verdana" w:hAnsi="Verdana" w:cs="Arial"/>
        </w:rPr>
      </w:pPr>
      <w:r w:rsidRPr="004445AE">
        <w:rPr>
          <w:rFonts w:ascii="Verdana" w:hAnsi="Verdana" w:cs="Arial"/>
        </w:rPr>
        <w:t xml:space="preserve">Vencido el término otorgado para que las partes se pronuncien sobre los documentos incorporados en la presente decisión sin objeción alguna, se entenderá cerrada la etapa probatoria, y mediante auto separado se dispondrá </w:t>
      </w:r>
      <w:r w:rsidRPr="004445AE">
        <w:rPr>
          <w:rFonts w:ascii="Verdana" w:hAnsi="Verdana" w:cs="Arial"/>
        </w:rPr>
        <w:lastRenderedPageBreak/>
        <w:t xml:space="preserve">el traslado a las partes para alegar de conclusión, así como al Ministerio Público para emitir su concepto en los términos del artículo 42 de la Ley 2080 de 2021. </w:t>
      </w:r>
    </w:p>
    <w:p w14:paraId="58720EE8" w14:textId="77777777" w:rsidR="005F13C7" w:rsidRPr="004445AE" w:rsidRDefault="005F13C7" w:rsidP="005F13C7">
      <w:pPr>
        <w:pStyle w:val="Textoindependienteprimerasangra"/>
        <w:spacing w:after="0" w:line="276" w:lineRule="auto"/>
        <w:ind w:firstLine="0"/>
        <w:jc w:val="both"/>
        <w:rPr>
          <w:rFonts w:ascii="Verdana" w:hAnsi="Verdana" w:cs="Arial"/>
        </w:rPr>
      </w:pPr>
    </w:p>
    <w:p w14:paraId="2AB2CC06" w14:textId="5CF825BD" w:rsidR="005F13C7" w:rsidRPr="004445AE" w:rsidRDefault="005F13C7" w:rsidP="005F13C7">
      <w:pPr>
        <w:spacing w:after="0" w:line="276" w:lineRule="auto"/>
        <w:jc w:val="both"/>
        <w:rPr>
          <w:rFonts w:ascii="Verdana" w:hAnsi="Verdana" w:cs="Arial"/>
        </w:rPr>
      </w:pPr>
      <w:r w:rsidRPr="004445AE">
        <w:rPr>
          <w:rFonts w:ascii="Verdana" w:hAnsi="Verdana"/>
        </w:rPr>
        <w:t>Finalmente, se</w:t>
      </w:r>
      <w:r w:rsidR="007C01EF" w:rsidRPr="004445AE">
        <w:rPr>
          <w:rFonts w:ascii="Verdana" w:hAnsi="Verdana"/>
        </w:rPr>
        <w:t xml:space="preserve"> acepta la renuncia de poder presentada por la abogada Martha</w:t>
      </w:r>
      <w:r w:rsidR="004445AE" w:rsidRPr="004445AE">
        <w:rPr>
          <w:rFonts w:ascii="Verdana" w:hAnsi="Verdana"/>
        </w:rPr>
        <w:t xml:space="preserve"> Lucía Acevedo Robles, como apoderado de Municipio de Alegría</w:t>
      </w:r>
      <w:r w:rsidR="00E80433" w:rsidRPr="004445AE">
        <w:rPr>
          <w:rFonts w:ascii="Verdana" w:hAnsi="Verdana"/>
        </w:rPr>
        <w:t>;</w:t>
      </w:r>
      <w:r w:rsidR="007C01EF" w:rsidRPr="004445AE">
        <w:rPr>
          <w:rFonts w:ascii="Verdana" w:hAnsi="Verdana"/>
        </w:rPr>
        <w:t xml:space="preserve"> y se re</w:t>
      </w:r>
      <w:r w:rsidRPr="004445AE">
        <w:rPr>
          <w:rFonts w:ascii="Verdana" w:hAnsi="Verdana" w:cs="Arial"/>
          <w:bCs/>
        </w:rPr>
        <w:t xml:space="preserve">conoce </w:t>
      </w:r>
      <w:r w:rsidRPr="004445AE">
        <w:rPr>
          <w:rFonts w:ascii="Verdana" w:hAnsi="Verdana" w:cs="Arial"/>
        </w:rPr>
        <w:t xml:space="preserve">personería adjetiva al abogado </w:t>
      </w:r>
      <w:r w:rsidR="004445AE" w:rsidRPr="004445AE">
        <w:rPr>
          <w:rStyle w:val="fcd75780be-af82-4910-82a0-aff24c879adc-3"/>
          <w:rFonts w:ascii="Verdana" w:hAnsi="Verdana" w:cs="Arial"/>
          <w:color w:val="000000"/>
        </w:rPr>
        <w:t xml:space="preserve">Luis Eduardo Orozco Hoyos </w:t>
      </w:r>
      <w:r w:rsidRPr="004445AE">
        <w:rPr>
          <w:rStyle w:val="fcd75780be-af82-4910-82a0-aff24c879adc-0"/>
          <w:rFonts w:ascii="Verdana" w:hAnsi="Verdana" w:cs="Arial"/>
          <w:color w:val="000000"/>
        </w:rPr>
        <w:t>identificado con la cédula de ciudadanía </w:t>
      </w:r>
      <w:r w:rsidRPr="004445AE">
        <w:rPr>
          <w:rStyle w:val="fcd75780be-af82-4910-82a0-aff24c879adc-3"/>
          <w:rFonts w:ascii="Verdana" w:hAnsi="Verdana" w:cs="Arial"/>
          <w:color w:val="000000"/>
        </w:rPr>
        <w:t xml:space="preserve">No. </w:t>
      </w:r>
      <w:r w:rsidR="004445AE" w:rsidRPr="004445AE">
        <w:rPr>
          <w:rStyle w:val="fcd75780be-af82-4910-82a0-aff24c879adc-3"/>
          <w:rFonts w:ascii="Verdana" w:hAnsi="Verdana" w:cs="Arial"/>
          <w:color w:val="000000"/>
        </w:rPr>
        <w:t>88.900.345</w:t>
      </w:r>
      <w:r w:rsidRPr="004445AE">
        <w:rPr>
          <w:rStyle w:val="fcd75780be-af82-4910-82a0-aff24c879adc-0"/>
          <w:rFonts w:ascii="Verdana" w:hAnsi="Verdana" w:cs="Arial"/>
          <w:color w:val="000000"/>
        </w:rPr>
        <w:t> y la tarjeta de abogado </w:t>
      </w:r>
      <w:r w:rsidRPr="004445AE">
        <w:rPr>
          <w:rStyle w:val="fcd75780be-af82-4910-82a0-aff24c879adc-3"/>
          <w:rFonts w:ascii="Verdana" w:hAnsi="Verdana" w:cs="Arial"/>
          <w:color w:val="000000"/>
        </w:rPr>
        <w:t xml:space="preserve">No. </w:t>
      </w:r>
      <w:r w:rsidR="004445AE" w:rsidRPr="004445AE">
        <w:rPr>
          <w:rStyle w:val="fcd75780be-af82-4910-82a0-aff24c879adc-3"/>
          <w:rFonts w:ascii="Verdana" w:hAnsi="Verdana" w:cs="Arial"/>
          <w:color w:val="000000"/>
        </w:rPr>
        <w:t>123.098</w:t>
      </w:r>
      <w:r w:rsidRPr="004445AE">
        <w:rPr>
          <w:rFonts w:ascii="Verdana" w:hAnsi="Verdana" w:cs="Arial"/>
        </w:rPr>
        <w:t xml:space="preserve">, como apoderado de la </w:t>
      </w:r>
      <w:r w:rsidR="007C01EF" w:rsidRPr="004445AE">
        <w:rPr>
          <w:rFonts w:ascii="Verdana" w:hAnsi="Verdana" w:cs="Segoe UI"/>
        </w:rPr>
        <w:t xml:space="preserve">MUNICIPIO DE </w:t>
      </w:r>
      <w:r w:rsidR="004445AE" w:rsidRPr="004445AE">
        <w:rPr>
          <w:rFonts w:ascii="Verdana" w:hAnsi="Verdana" w:cs="Segoe UI"/>
        </w:rPr>
        <w:t>ALEGRÍA</w:t>
      </w:r>
      <w:r w:rsidRPr="004445AE">
        <w:rPr>
          <w:rFonts w:ascii="Verdana" w:hAnsi="Verdana" w:cs="Arial"/>
        </w:rPr>
        <w:t>,</w:t>
      </w:r>
      <w:r w:rsidRPr="004445AE">
        <w:rPr>
          <w:rFonts w:ascii="Verdana" w:hAnsi="Verdana" w:cs="Segoe UI"/>
        </w:rPr>
        <w:t xml:space="preserve"> en los términos y para los efectos del poder especial</w:t>
      </w:r>
      <w:r w:rsidRPr="004445AE">
        <w:rPr>
          <w:rFonts w:ascii="Verdana" w:hAnsi="Verdana" w:cs="Arial"/>
        </w:rPr>
        <w:t xml:space="preserve"> otorgado</w:t>
      </w:r>
      <w:r w:rsidRPr="004445AE">
        <w:rPr>
          <w:rStyle w:val="Refdenotaalpie"/>
          <w:rFonts w:ascii="Verdana" w:hAnsi="Verdana" w:cs="Arial"/>
        </w:rPr>
        <w:footnoteReference w:id="4"/>
      </w:r>
      <w:r w:rsidRPr="004445AE">
        <w:rPr>
          <w:rFonts w:ascii="Verdana" w:hAnsi="Verdana" w:cs="Arial"/>
        </w:rPr>
        <w:t xml:space="preserve">. </w:t>
      </w:r>
    </w:p>
    <w:p w14:paraId="2849D1AE" w14:textId="77777777" w:rsidR="005F13C7" w:rsidRPr="004445AE" w:rsidRDefault="005F13C7" w:rsidP="005F13C7">
      <w:pPr>
        <w:pStyle w:val="Textoindependienteprimerasangra"/>
        <w:spacing w:after="0" w:line="276" w:lineRule="auto"/>
        <w:ind w:firstLine="0"/>
        <w:jc w:val="both"/>
        <w:rPr>
          <w:rFonts w:ascii="Verdana" w:hAnsi="Verdana" w:cs="Arial"/>
        </w:rPr>
      </w:pPr>
    </w:p>
    <w:p w14:paraId="32FDCF56" w14:textId="00416BA3" w:rsidR="005F13C7" w:rsidRPr="004445AE" w:rsidRDefault="005F13C7" w:rsidP="005F13C7">
      <w:pPr>
        <w:pStyle w:val="Textoindependienteprimerasangra"/>
        <w:spacing w:after="0" w:line="276" w:lineRule="auto"/>
        <w:ind w:firstLine="0"/>
        <w:jc w:val="both"/>
        <w:rPr>
          <w:rFonts w:ascii="Verdana" w:hAnsi="Verdana" w:cs="Segoe UI"/>
        </w:rPr>
      </w:pPr>
      <w:r w:rsidRPr="004445AE">
        <w:rPr>
          <w:rFonts w:ascii="Verdana" w:hAnsi="Verdana" w:cs="Arial"/>
        </w:rPr>
        <w:t xml:space="preserve">Se advierte, </w:t>
      </w:r>
      <w:r w:rsidR="004445AE" w:rsidRPr="004445AE">
        <w:rPr>
          <w:rFonts w:ascii="Verdana" w:hAnsi="Verdana" w:cs="Arial"/>
        </w:rPr>
        <w:t xml:space="preserve">que </w:t>
      </w:r>
      <w:r w:rsidRPr="004445AE">
        <w:rPr>
          <w:rFonts w:ascii="Verdana" w:hAnsi="Verdana" w:cs="Arial"/>
        </w:rPr>
        <w:t xml:space="preserve">la revisión, control y seguimiento del presente proceso se realizará con el número completo del radicado en la plataforma </w:t>
      </w:r>
      <w:r w:rsidR="004445AE" w:rsidRPr="004445AE">
        <w:rPr>
          <w:rFonts w:ascii="Verdana" w:hAnsi="Verdana" w:cs="Arial"/>
        </w:rPr>
        <w:t>de la Rama Judicial.</w:t>
      </w:r>
    </w:p>
    <w:p w14:paraId="4504E947" w14:textId="77777777" w:rsidR="007D0EEE" w:rsidRPr="004445AE" w:rsidRDefault="007D0EEE" w:rsidP="00AE0734">
      <w:pPr>
        <w:spacing w:after="0" w:line="276" w:lineRule="auto"/>
        <w:jc w:val="center"/>
        <w:rPr>
          <w:rFonts w:ascii="Verdana" w:hAnsi="Verdana"/>
        </w:rPr>
      </w:pPr>
    </w:p>
    <w:p w14:paraId="68761A3D" w14:textId="77777777" w:rsidR="007D0EEE" w:rsidRPr="004445AE" w:rsidRDefault="007D0EEE" w:rsidP="00AE0734">
      <w:pPr>
        <w:tabs>
          <w:tab w:val="left" w:pos="0"/>
        </w:tabs>
        <w:spacing w:after="0" w:line="276" w:lineRule="auto"/>
        <w:jc w:val="center"/>
        <w:rPr>
          <w:rFonts w:ascii="Verdana" w:hAnsi="Verdana"/>
          <w:b/>
        </w:rPr>
      </w:pPr>
      <w:r w:rsidRPr="004445AE">
        <w:rPr>
          <w:rFonts w:ascii="Verdana" w:hAnsi="Verdana"/>
          <w:b/>
        </w:rPr>
        <w:t>NOTIFÍQUESE Y CÚMPLASE,</w:t>
      </w:r>
    </w:p>
    <w:p w14:paraId="15D98103" w14:textId="77777777" w:rsidR="007D0EEE" w:rsidRPr="004445AE" w:rsidRDefault="007D0EEE" w:rsidP="00AE0734">
      <w:pPr>
        <w:tabs>
          <w:tab w:val="left" w:pos="0"/>
        </w:tabs>
        <w:spacing w:after="0" w:line="276" w:lineRule="auto"/>
        <w:jc w:val="center"/>
        <w:rPr>
          <w:rFonts w:ascii="Verdana" w:hAnsi="Verdana"/>
          <w:b/>
        </w:rPr>
      </w:pPr>
    </w:p>
    <w:p w14:paraId="5DAD620E" w14:textId="7F4876CC" w:rsidR="007D0EEE" w:rsidRPr="004445AE" w:rsidRDefault="007D0EEE" w:rsidP="00BE649A">
      <w:pPr>
        <w:tabs>
          <w:tab w:val="left" w:pos="0"/>
        </w:tabs>
        <w:spacing w:after="0" w:line="276" w:lineRule="auto"/>
        <w:rPr>
          <w:rFonts w:ascii="Verdana" w:hAnsi="Verdana"/>
          <w:b/>
        </w:rPr>
      </w:pPr>
    </w:p>
    <w:p w14:paraId="1A02787B" w14:textId="6BD4D0A3" w:rsidR="00AE0734" w:rsidRPr="004445AE" w:rsidRDefault="00AE0734" w:rsidP="00AE0734">
      <w:pPr>
        <w:tabs>
          <w:tab w:val="left" w:pos="0"/>
        </w:tabs>
        <w:spacing w:after="0" w:line="276" w:lineRule="auto"/>
        <w:jc w:val="center"/>
        <w:rPr>
          <w:rFonts w:ascii="Verdana" w:hAnsi="Verdana"/>
          <w:b/>
        </w:rPr>
      </w:pPr>
    </w:p>
    <w:p w14:paraId="5387B775" w14:textId="17FF3015" w:rsidR="007D0EEE" w:rsidRPr="004445AE" w:rsidRDefault="007D0EEE" w:rsidP="00AE0734">
      <w:pPr>
        <w:tabs>
          <w:tab w:val="left" w:pos="0"/>
        </w:tabs>
        <w:spacing w:after="0" w:line="276" w:lineRule="auto"/>
        <w:jc w:val="center"/>
        <w:rPr>
          <w:rFonts w:ascii="Verdana" w:hAnsi="Verdana"/>
        </w:rPr>
      </w:pPr>
    </w:p>
    <w:sectPr w:rsidR="007D0EEE" w:rsidRPr="004445AE" w:rsidSect="009D5159">
      <w:footerReference w:type="default" r:id="rId7"/>
      <w:pgSz w:w="12242" w:h="18722"/>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1D292" w14:textId="77777777" w:rsidR="00F94D8A" w:rsidRDefault="00F94D8A" w:rsidP="007D0EEE">
      <w:pPr>
        <w:spacing w:after="0" w:line="240" w:lineRule="auto"/>
      </w:pPr>
      <w:r>
        <w:separator/>
      </w:r>
    </w:p>
  </w:endnote>
  <w:endnote w:type="continuationSeparator" w:id="0">
    <w:p w14:paraId="1558B3BB" w14:textId="77777777" w:rsidR="00F94D8A" w:rsidRDefault="00F94D8A" w:rsidP="007D0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e Olive">
    <w:altName w:val="Corbel"/>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19647" w14:textId="686AF910" w:rsidR="004768EF" w:rsidRPr="00AE0734" w:rsidRDefault="00F92537" w:rsidP="0049653C">
    <w:pPr>
      <w:tabs>
        <w:tab w:val="left" w:pos="-720"/>
      </w:tabs>
      <w:suppressAutoHyphens/>
      <w:spacing w:after="0" w:line="240" w:lineRule="auto"/>
      <w:jc w:val="both"/>
      <w:rPr>
        <w:rFonts w:ascii="Book Antiqua" w:hAnsi="Book Antiqua" w:cs="Segoe UI"/>
        <w:i/>
        <w:iCs/>
        <w:spacing w:val="-3"/>
        <w:sz w:val="16"/>
        <w:szCs w:val="16"/>
      </w:rPr>
    </w:pPr>
    <w:r w:rsidRPr="00AE0734">
      <w:rPr>
        <w:rFonts w:ascii="Book Antiqua" w:hAnsi="Book Antiqua" w:cs="Segoe UI"/>
        <w:i/>
        <w:iCs/>
        <w:spacing w:val="-3"/>
        <w:sz w:val="16"/>
        <w:szCs w:val="16"/>
      </w:rPr>
      <w:t>Acción:</w:t>
    </w:r>
    <w:r w:rsidR="0049653C" w:rsidRPr="00AE0734">
      <w:rPr>
        <w:rFonts w:ascii="Book Antiqua" w:hAnsi="Book Antiqua" w:cs="Segoe UI"/>
        <w:i/>
        <w:iCs/>
        <w:spacing w:val="-3"/>
        <w:sz w:val="16"/>
        <w:szCs w:val="16"/>
      </w:rPr>
      <w:tab/>
    </w:r>
    <w:r w:rsidR="00773287" w:rsidRPr="00AE0734">
      <w:rPr>
        <w:rFonts w:ascii="Book Antiqua" w:hAnsi="Book Antiqua" w:cs="Segoe UI"/>
        <w:i/>
        <w:iCs/>
        <w:spacing w:val="-3"/>
        <w:sz w:val="16"/>
        <w:szCs w:val="16"/>
      </w:rPr>
      <w:tab/>
    </w:r>
    <w:r w:rsidR="00E307E1" w:rsidRPr="00E307E1">
      <w:rPr>
        <w:rFonts w:ascii="Book Antiqua" w:hAnsi="Book Antiqua" w:cs="Segoe UI"/>
        <w:i/>
        <w:iCs/>
        <w:spacing w:val="-3"/>
        <w:sz w:val="16"/>
        <w:szCs w:val="16"/>
      </w:rPr>
      <w:t>NULIDAD Y RESTABLECIMIENTO DEL DERECHO</w:t>
    </w:r>
  </w:p>
  <w:p w14:paraId="3821C6D7" w14:textId="4A65438B" w:rsidR="004445AE" w:rsidRDefault="00F92537" w:rsidP="0049653C">
    <w:pPr>
      <w:tabs>
        <w:tab w:val="left" w:pos="-720"/>
      </w:tabs>
      <w:suppressAutoHyphens/>
      <w:spacing w:after="0" w:line="240" w:lineRule="auto"/>
      <w:jc w:val="both"/>
      <w:rPr>
        <w:rFonts w:ascii="Book Antiqua" w:hAnsi="Book Antiqua" w:cs="Segoe UI"/>
        <w:i/>
        <w:iCs/>
        <w:spacing w:val="-3"/>
        <w:sz w:val="16"/>
        <w:szCs w:val="16"/>
      </w:rPr>
    </w:pPr>
    <w:r w:rsidRPr="00AE0734">
      <w:rPr>
        <w:rFonts w:ascii="Book Antiqua" w:hAnsi="Book Antiqua" w:cs="Segoe UI"/>
        <w:i/>
        <w:iCs/>
        <w:spacing w:val="-3"/>
        <w:sz w:val="16"/>
        <w:szCs w:val="16"/>
      </w:rPr>
      <w:t>Expediente:</w:t>
    </w:r>
    <w:r w:rsidR="0049653C" w:rsidRPr="00AE0734">
      <w:rPr>
        <w:rFonts w:ascii="Book Antiqua" w:hAnsi="Book Antiqua" w:cs="Segoe UI"/>
        <w:i/>
        <w:iCs/>
        <w:spacing w:val="-3"/>
        <w:sz w:val="16"/>
        <w:szCs w:val="16"/>
      </w:rPr>
      <w:tab/>
    </w:r>
    <w:r w:rsidR="00C02F87" w:rsidRPr="00C02F87">
      <w:rPr>
        <w:rFonts w:ascii="Book Antiqua" w:hAnsi="Book Antiqua" w:cs="Segoe UI"/>
        <w:i/>
        <w:iCs/>
        <w:spacing w:val="-3"/>
        <w:sz w:val="16"/>
        <w:szCs w:val="16"/>
      </w:rPr>
      <w:t>50001-</w:t>
    </w:r>
    <w:r w:rsidR="004445AE">
      <w:rPr>
        <w:rFonts w:ascii="Book Antiqua" w:hAnsi="Book Antiqua" w:cs="Segoe UI"/>
        <w:i/>
        <w:iCs/>
        <w:spacing w:val="-3"/>
        <w:sz w:val="16"/>
        <w:szCs w:val="16"/>
      </w:rPr>
      <w:t>5</w:t>
    </w:r>
    <w:r w:rsidR="00C02F87" w:rsidRPr="00C02F87">
      <w:rPr>
        <w:rFonts w:ascii="Book Antiqua" w:hAnsi="Book Antiqua" w:cs="Segoe UI"/>
        <w:i/>
        <w:iCs/>
        <w:spacing w:val="-3"/>
        <w:sz w:val="16"/>
        <w:szCs w:val="16"/>
      </w:rPr>
      <w:t>3-33-000-20</w:t>
    </w:r>
    <w:r w:rsidR="004445AE">
      <w:rPr>
        <w:rFonts w:ascii="Book Antiqua" w:hAnsi="Book Antiqua" w:cs="Segoe UI"/>
        <w:i/>
        <w:iCs/>
        <w:spacing w:val="-3"/>
        <w:sz w:val="16"/>
        <w:szCs w:val="16"/>
      </w:rPr>
      <w:t>20</w:t>
    </w:r>
    <w:r w:rsidR="00C02F87" w:rsidRPr="00C02F87">
      <w:rPr>
        <w:rFonts w:ascii="Book Antiqua" w:hAnsi="Book Antiqua" w:cs="Segoe UI"/>
        <w:i/>
        <w:iCs/>
        <w:spacing w:val="-3"/>
        <w:sz w:val="16"/>
        <w:szCs w:val="16"/>
      </w:rPr>
      <w:t>-00189-</w:t>
    </w:r>
    <w:r w:rsidR="004445AE">
      <w:rPr>
        <w:rFonts w:ascii="Book Antiqua" w:hAnsi="Book Antiqua" w:cs="Segoe UI"/>
        <w:i/>
        <w:iCs/>
        <w:spacing w:val="-3"/>
        <w:sz w:val="16"/>
        <w:szCs w:val="16"/>
      </w:rPr>
      <w:t>00</w:t>
    </w:r>
  </w:p>
  <w:p w14:paraId="49CF2FF2" w14:textId="5CEE2C2E" w:rsidR="00EE3B58" w:rsidRPr="00AE0734" w:rsidRDefault="00EE3B58" w:rsidP="0049653C">
    <w:pPr>
      <w:tabs>
        <w:tab w:val="left" w:pos="-720"/>
      </w:tabs>
      <w:suppressAutoHyphens/>
      <w:spacing w:after="0" w:line="240" w:lineRule="auto"/>
      <w:jc w:val="both"/>
      <w:rPr>
        <w:rFonts w:ascii="Book Antiqua" w:hAnsi="Book Antiqua" w:cs="Segoe UI"/>
        <w:i/>
        <w:iCs/>
        <w:sz w:val="16"/>
        <w:szCs w:val="16"/>
      </w:rPr>
    </w:pPr>
    <w:r w:rsidRPr="00AE0734">
      <w:rPr>
        <w:rFonts w:ascii="Book Antiqua" w:hAnsi="Book Antiqua" w:cs="Segoe UI"/>
        <w:i/>
        <w:iCs/>
        <w:sz w:val="16"/>
        <w:szCs w:val="16"/>
      </w:rPr>
      <w:t>Auto</w:t>
    </w:r>
    <w:r w:rsidR="0049653C" w:rsidRPr="00AE0734">
      <w:rPr>
        <w:rFonts w:ascii="Book Antiqua" w:hAnsi="Book Antiqua" w:cs="Segoe UI"/>
        <w:i/>
        <w:iCs/>
        <w:sz w:val="16"/>
        <w:szCs w:val="16"/>
      </w:rPr>
      <w:t>:</w:t>
    </w:r>
    <w:r w:rsidR="0049653C" w:rsidRPr="00AE0734">
      <w:rPr>
        <w:rFonts w:ascii="Book Antiqua" w:hAnsi="Book Antiqua" w:cs="Segoe UI"/>
        <w:i/>
        <w:iCs/>
        <w:sz w:val="16"/>
        <w:szCs w:val="16"/>
      </w:rPr>
      <w:tab/>
    </w:r>
    <w:r w:rsidR="0049653C" w:rsidRPr="00AE0734">
      <w:rPr>
        <w:rFonts w:ascii="Book Antiqua" w:hAnsi="Book Antiqua" w:cs="Segoe UI"/>
        <w:i/>
        <w:iCs/>
        <w:sz w:val="16"/>
        <w:szCs w:val="16"/>
      </w:rPr>
      <w:tab/>
    </w:r>
    <w:r w:rsidR="00937802" w:rsidRPr="00AE0734">
      <w:rPr>
        <w:rFonts w:ascii="Book Antiqua" w:hAnsi="Book Antiqua" w:cs="Segoe UI"/>
        <w:i/>
        <w:iCs/>
        <w:sz w:val="16"/>
        <w:szCs w:val="16"/>
      </w:rPr>
      <w:t>Avocar</w:t>
    </w:r>
    <w:r w:rsidR="00AE0734">
      <w:rPr>
        <w:rFonts w:ascii="Book Antiqua" w:hAnsi="Book Antiqua" w:cs="Segoe UI"/>
        <w:i/>
        <w:iCs/>
        <w:sz w:val="16"/>
        <w:szCs w:val="16"/>
      </w:rPr>
      <w:t xml:space="preserve"> conocimiento </w:t>
    </w:r>
    <w:r w:rsidR="00937802" w:rsidRPr="00AE0734">
      <w:rPr>
        <w:rFonts w:ascii="Book Antiqua" w:hAnsi="Book Antiqua" w:cs="Segoe UI"/>
        <w:i/>
        <w:iCs/>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5C6EA" w14:textId="77777777" w:rsidR="00F94D8A" w:rsidRDefault="00F94D8A" w:rsidP="007D0EEE">
      <w:pPr>
        <w:spacing w:after="0" w:line="240" w:lineRule="auto"/>
      </w:pPr>
      <w:r>
        <w:separator/>
      </w:r>
    </w:p>
  </w:footnote>
  <w:footnote w:type="continuationSeparator" w:id="0">
    <w:p w14:paraId="4BDC99BD" w14:textId="77777777" w:rsidR="00F94D8A" w:rsidRDefault="00F94D8A" w:rsidP="007D0EEE">
      <w:pPr>
        <w:spacing w:after="0" w:line="240" w:lineRule="auto"/>
      </w:pPr>
      <w:r>
        <w:continuationSeparator/>
      </w:r>
    </w:p>
  </w:footnote>
  <w:footnote w:id="1">
    <w:p w14:paraId="2AC8B519" w14:textId="1D070811" w:rsidR="00E80433" w:rsidRPr="004445AE" w:rsidRDefault="005F13C7" w:rsidP="00E80433">
      <w:pPr>
        <w:pStyle w:val="Textonotapie"/>
        <w:jc w:val="both"/>
        <w:rPr>
          <w:rFonts w:ascii="Verdana" w:hAnsi="Verdana"/>
          <w:sz w:val="18"/>
          <w:szCs w:val="18"/>
        </w:rPr>
      </w:pPr>
      <w:r w:rsidRPr="004445AE">
        <w:rPr>
          <w:rStyle w:val="Refdenotaalpie"/>
          <w:rFonts w:ascii="Verdana" w:hAnsi="Verdana"/>
          <w:sz w:val="18"/>
          <w:szCs w:val="18"/>
        </w:rPr>
        <w:footnoteRef/>
      </w:r>
      <w:r w:rsidRPr="004445AE">
        <w:rPr>
          <w:rFonts w:ascii="Verdana" w:hAnsi="Verdana"/>
          <w:sz w:val="18"/>
          <w:szCs w:val="18"/>
        </w:rPr>
        <w:t xml:space="preserve"> </w:t>
      </w:r>
      <w:proofErr w:type="spellStart"/>
      <w:r w:rsidR="00E80433" w:rsidRPr="004445AE">
        <w:rPr>
          <w:rFonts w:ascii="Verdana" w:hAnsi="Verdana"/>
          <w:sz w:val="18"/>
          <w:szCs w:val="18"/>
        </w:rPr>
        <w:t>Pag</w:t>
      </w:r>
      <w:proofErr w:type="spellEnd"/>
      <w:r w:rsidR="00E80433" w:rsidRPr="004445AE">
        <w:rPr>
          <w:rFonts w:ascii="Verdana" w:hAnsi="Verdana"/>
          <w:sz w:val="18"/>
          <w:szCs w:val="18"/>
        </w:rPr>
        <w:t xml:space="preserve">. 112 a 119 </w:t>
      </w:r>
    </w:p>
    <w:p w14:paraId="2492D8DC" w14:textId="576DCFC6" w:rsidR="005F13C7" w:rsidRPr="004445AE" w:rsidRDefault="005F13C7" w:rsidP="005F13C7">
      <w:pPr>
        <w:pStyle w:val="Textonotapie"/>
        <w:rPr>
          <w:rFonts w:ascii="Verdana" w:hAnsi="Verdana"/>
          <w:sz w:val="18"/>
          <w:szCs w:val="18"/>
          <w:lang w:val="es-MX"/>
        </w:rPr>
      </w:pPr>
    </w:p>
  </w:footnote>
  <w:footnote w:id="2">
    <w:p w14:paraId="2E55F371" w14:textId="140B8599" w:rsidR="00DD7A0A" w:rsidRPr="004445AE" w:rsidRDefault="00DD7A0A">
      <w:pPr>
        <w:pStyle w:val="Textonotapie"/>
        <w:rPr>
          <w:rFonts w:ascii="Verdana" w:hAnsi="Verdana"/>
          <w:sz w:val="18"/>
          <w:szCs w:val="18"/>
        </w:rPr>
      </w:pPr>
      <w:r w:rsidRPr="004445AE">
        <w:rPr>
          <w:rStyle w:val="Refdenotaalpie"/>
          <w:rFonts w:ascii="Verdana" w:hAnsi="Verdana"/>
          <w:sz w:val="18"/>
          <w:szCs w:val="18"/>
        </w:rPr>
        <w:footnoteRef/>
      </w:r>
      <w:r w:rsidRPr="004445AE">
        <w:rPr>
          <w:rFonts w:ascii="Verdana" w:hAnsi="Verdana"/>
          <w:sz w:val="18"/>
          <w:szCs w:val="18"/>
        </w:rPr>
        <w:t xml:space="preserve"> </w:t>
      </w:r>
      <w:r w:rsidR="00866933" w:rsidRPr="004445AE">
        <w:rPr>
          <w:rFonts w:ascii="Verdana" w:hAnsi="Verdana"/>
          <w:sz w:val="18"/>
          <w:szCs w:val="18"/>
        </w:rPr>
        <w:t xml:space="preserve">Archivo Tyba: </w:t>
      </w:r>
      <w:r w:rsidRPr="004445AE">
        <w:rPr>
          <w:rFonts w:ascii="Verdana" w:hAnsi="Verdana"/>
          <w:sz w:val="18"/>
          <w:szCs w:val="18"/>
        </w:rPr>
        <w:t>03IncorporaExpedienteDigitalizado</w:t>
      </w:r>
    </w:p>
  </w:footnote>
  <w:footnote w:id="3">
    <w:p w14:paraId="465A4E1D" w14:textId="77777777" w:rsidR="00CA770E" w:rsidRPr="004445AE" w:rsidRDefault="00CA770E" w:rsidP="00CA770E">
      <w:pPr>
        <w:shd w:val="clear" w:color="auto" w:fill="FFFFFF"/>
        <w:spacing w:after="0" w:line="240" w:lineRule="auto"/>
        <w:jc w:val="both"/>
        <w:rPr>
          <w:rFonts w:ascii="Verdana" w:eastAsia="Times New Roman" w:hAnsi="Verdana" w:cs="Arial"/>
          <w:i/>
          <w:color w:val="000000"/>
          <w:sz w:val="18"/>
          <w:szCs w:val="18"/>
          <w:lang w:val="es-ES"/>
        </w:rPr>
      </w:pPr>
      <w:r w:rsidRPr="004445AE">
        <w:rPr>
          <w:rStyle w:val="Refdenotaalpie"/>
          <w:rFonts w:ascii="Verdana" w:hAnsi="Verdana"/>
          <w:sz w:val="18"/>
          <w:szCs w:val="18"/>
        </w:rPr>
        <w:footnoteRef/>
      </w:r>
      <w:r w:rsidRPr="004445AE">
        <w:rPr>
          <w:rFonts w:ascii="Verdana" w:hAnsi="Verdana"/>
          <w:sz w:val="18"/>
          <w:szCs w:val="18"/>
        </w:rPr>
        <w:t xml:space="preserve"> </w:t>
      </w:r>
      <w:r w:rsidRPr="004445AE">
        <w:rPr>
          <w:rFonts w:ascii="Verdana" w:hAnsi="Verdana"/>
          <w:i/>
          <w:color w:val="000000"/>
          <w:sz w:val="18"/>
          <w:szCs w:val="18"/>
        </w:rPr>
        <w:t>“</w:t>
      </w:r>
      <w:r w:rsidRPr="004445AE">
        <w:rPr>
          <w:rFonts w:ascii="Verdana" w:eastAsia="Times New Roman" w:hAnsi="Verdana" w:cs="Arial"/>
          <w:b/>
          <w:bCs/>
          <w:i/>
          <w:color w:val="000000"/>
          <w:sz w:val="18"/>
          <w:szCs w:val="18"/>
          <w:lang w:val="es-ES"/>
        </w:rPr>
        <w:t>Artículo 11. Comunicaciones, oficios y despachos.</w:t>
      </w:r>
      <w:r w:rsidRPr="004445AE">
        <w:rPr>
          <w:rFonts w:ascii="Verdana" w:eastAsia="Times New Roman" w:hAnsi="Verdana" w:cs="Arial"/>
          <w:i/>
          <w:color w:val="000000"/>
          <w:sz w:val="18"/>
          <w:szCs w:val="18"/>
          <w:lang w:val="es-ES"/>
        </w:rPr>
        <w:t> Todas las comunicaciones, oficios y despachos con cualquier destinatario, se surtirán por el medio técnico disponible, como lo autoriza el artículo 111 del Código General del Proceso. </w:t>
      </w:r>
    </w:p>
    <w:p w14:paraId="11737DBD" w14:textId="77777777" w:rsidR="00CA770E" w:rsidRPr="004445AE" w:rsidRDefault="00CA770E" w:rsidP="00CA770E">
      <w:pPr>
        <w:shd w:val="clear" w:color="auto" w:fill="FFFFFF"/>
        <w:spacing w:after="0" w:line="240" w:lineRule="auto"/>
        <w:jc w:val="both"/>
        <w:rPr>
          <w:rFonts w:ascii="Verdana" w:eastAsia="Times New Roman" w:hAnsi="Verdana" w:cs="Arial"/>
          <w:color w:val="1F3864"/>
          <w:sz w:val="18"/>
          <w:szCs w:val="18"/>
          <w:lang w:val="es-ES"/>
        </w:rPr>
      </w:pPr>
      <w:r w:rsidRPr="004445AE">
        <w:rPr>
          <w:rFonts w:ascii="Verdana" w:eastAsia="Times New Roman" w:hAnsi="Verdana" w:cs="Arial"/>
          <w:i/>
          <w:color w:val="000000"/>
          <w:sz w:val="18"/>
          <w:szCs w:val="18"/>
          <w:lang w:val="es-ES"/>
        </w:rPr>
        <w:t>Los secretarios o los funcionarios que hagan sus veces remitirán las comunicaciones necesarias para dar cumplimiento a las órdenes judiciales mediante mensaje de datos, dirigidas a cualquier entidad pública, privada o particulares, las cuales se presumen auténticas y no podrán desconocerse siempre que provengan del correo electrónico oficial de la autoridad judicial.”</w:t>
      </w:r>
    </w:p>
  </w:footnote>
  <w:footnote w:id="4">
    <w:p w14:paraId="3096408C" w14:textId="5736ABDB" w:rsidR="005F13C7" w:rsidRPr="004445AE" w:rsidRDefault="005F13C7" w:rsidP="005F13C7">
      <w:pPr>
        <w:pStyle w:val="Textonotapie"/>
        <w:rPr>
          <w:rFonts w:ascii="Verdana" w:hAnsi="Verdana"/>
          <w:sz w:val="18"/>
          <w:szCs w:val="18"/>
          <w:lang w:val="es-MX"/>
        </w:rPr>
      </w:pPr>
      <w:r w:rsidRPr="004445AE">
        <w:rPr>
          <w:rStyle w:val="Refdenotaalpie"/>
          <w:rFonts w:ascii="Verdana" w:hAnsi="Verdana"/>
          <w:sz w:val="18"/>
          <w:szCs w:val="18"/>
        </w:rPr>
        <w:footnoteRef/>
      </w:r>
      <w:r w:rsidRPr="004445AE">
        <w:rPr>
          <w:rFonts w:ascii="Verdana" w:hAnsi="Verdana"/>
          <w:sz w:val="18"/>
          <w:szCs w:val="18"/>
        </w:rPr>
        <w:t xml:space="preserve"> </w:t>
      </w:r>
      <w:proofErr w:type="spellStart"/>
      <w:r w:rsidR="00E80433" w:rsidRPr="004445AE">
        <w:rPr>
          <w:rFonts w:ascii="Verdana" w:hAnsi="Verdana"/>
          <w:sz w:val="18"/>
          <w:szCs w:val="18"/>
          <w:lang w:val="es-MX"/>
        </w:rPr>
        <w:t>Pag</w:t>
      </w:r>
      <w:proofErr w:type="spellEnd"/>
      <w:r w:rsidR="00E80433" w:rsidRPr="004445AE">
        <w:rPr>
          <w:rFonts w:ascii="Verdana" w:hAnsi="Verdana"/>
          <w:sz w:val="18"/>
          <w:szCs w:val="18"/>
          <w:lang w:val="es-MX"/>
        </w:rPr>
        <w:t xml:space="preserve">. 178 a 183 </w:t>
      </w:r>
      <w:r w:rsidR="00E80433" w:rsidRPr="004445AE">
        <w:rPr>
          <w:rFonts w:ascii="Verdana" w:hAnsi="Verdana"/>
          <w:i/>
          <w:sz w:val="18"/>
          <w:szCs w:val="18"/>
          <w:lang w:val="es-MX"/>
        </w:rPr>
        <w:t>ibídem.</w:t>
      </w:r>
      <w:r w:rsidRPr="004445AE">
        <w:rPr>
          <w:rFonts w:ascii="Verdana" w:hAnsi="Verdana"/>
          <w:sz w:val="18"/>
          <w:szCs w:val="18"/>
          <w:lang w:val="es-MX"/>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EEE"/>
    <w:rsid w:val="000000E1"/>
    <w:rsid w:val="00044F46"/>
    <w:rsid w:val="000503E9"/>
    <w:rsid w:val="00093A02"/>
    <w:rsid w:val="00093FE2"/>
    <w:rsid w:val="0014196F"/>
    <w:rsid w:val="00162338"/>
    <w:rsid w:val="001B1E5D"/>
    <w:rsid w:val="001B61F7"/>
    <w:rsid w:val="00237E7E"/>
    <w:rsid w:val="00282A72"/>
    <w:rsid w:val="00325091"/>
    <w:rsid w:val="0037012B"/>
    <w:rsid w:val="004445AE"/>
    <w:rsid w:val="00471FE3"/>
    <w:rsid w:val="00473779"/>
    <w:rsid w:val="0049653C"/>
    <w:rsid w:val="00511E89"/>
    <w:rsid w:val="00513BA8"/>
    <w:rsid w:val="00516F08"/>
    <w:rsid w:val="005209AF"/>
    <w:rsid w:val="00526300"/>
    <w:rsid w:val="00543E78"/>
    <w:rsid w:val="005A46F2"/>
    <w:rsid w:val="005B1A5A"/>
    <w:rsid w:val="005D2A9F"/>
    <w:rsid w:val="005F13C7"/>
    <w:rsid w:val="00643D59"/>
    <w:rsid w:val="00666E4C"/>
    <w:rsid w:val="006E54D3"/>
    <w:rsid w:val="006F1B17"/>
    <w:rsid w:val="00733624"/>
    <w:rsid w:val="0075136D"/>
    <w:rsid w:val="00771C75"/>
    <w:rsid w:val="00773287"/>
    <w:rsid w:val="00773BCA"/>
    <w:rsid w:val="0079120E"/>
    <w:rsid w:val="007A1A39"/>
    <w:rsid w:val="007C01EF"/>
    <w:rsid w:val="007C087B"/>
    <w:rsid w:val="007C4CC0"/>
    <w:rsid w:val="007D0EEE"/>
    <w:rsid w:val="007F7E39"/>
    <w:rsid w:val="00866933"/>
    <w:rsid w:val="00871BCE"/>
    <w:rsid w:val="008F3084"/>
    <w:rsid w:val="00932FFB"/>
    <w:rsid w:val="00937802"/>
    <w:rsid w:val="00950885"/>
    <w:rsid w:val="009869A7"/>
    <w:rsid w:val="009D5159"/>
    <w:rsid w:val="00A45919"/>
    <w:rsid w:val="00A541A6"/>
    <w:rsid w:val="00A84DD9"/>
    <w:rsid w:val="00A97146"/>
    <w:rsid w:val="00AB002C"/>
    <w:rsid w:val="00AC01F1"/>
    <w:rsid w:val="00AE0734"/>
    <w:rsid w:val="00BE649A"/>
    <w:rsid w:val="00C02F87"/>
    <w:rsid w:val="00C443E4"/>
    <w:rsid w:val="00C72654"/>
    <w:rsid w:val="00C72A8A"/>
    <w:rsid w:val="00C95B57"/>
    <w:rsid w:val="00CA770E"/>
    <w:rsid w:val="00CC2743"/>
    <w:rsid w:val="00D03D10"/>
    <w:rsid w:val="00D317A9"/>
    <w:rsid w:val="00D625E6"/>
    <w:rsid w:val="00DA32C2"/>
    <w:rsid w:val="00DD7A0A"/>
    <w:rsid w:val="00E21C4B"/>
    <w:rsid w:val="00E307E1"/>
    <w:rsid w:val="00E3247E"/>
    <w:rsid w:val="00E32D1E"/>
    <w:rsid w:val="00E52D01"/>
    <w:rsid w:val="00E77A51"/>
    <w:rsid w:val="00E80433"/>
    <w:rsid w:val="00E80DFD"/>
    <w:rsid w:val="00EE2235"/>
    <w:rsid w:val="00EE3B58"/>
    <w:rsid w:val="00F11AF0"/>
    <w:rsid w:val="00F3184B"/>
    <w:rsid w:val="00F92537"/>
    <w:rsid w:val="00F94D8A"/>
    <w:rsid w:val="00FB3DAC"/>
    <w:rsid w:val="00FE0E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645FD"/>
  <w15:docId w15:val="{6B77635F-7D67-43C7-BD01-383590B9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EEE"/>
  </w:style>
  <w:style w:type="paragraph" w:styleId="Ttulo1">
    <w:name w:val="heading 1"/>
    <w:basedOn w:val="Normal"/>
    <w:next w:val="Normal"/>
    <w:link w:val="Ttulo1Car"/>
    <w:qFormat/>
    <w:rsid w:val="007D0EEE"/>
    <w:pPr>
      <w:keepNext/>
      <w:tabs>
        <w:tab w:val="center" w:pos="4136"/>
        <w:tab w:val="right" w:pos="8273"/>
      </w:tabs>
      <w:overflowPunct w:val="0"/>
      <w:autoSpaceDE w:val="0"/>
      <w:autoSpaceDN w:val="0"/>
      <w:adjustRightInd w:val="0"/>
      <w:spacing w:after="0" w:line="360" w:lineRule="auto"/>
      <w:jc w:val="center"/>
      <w:outlineLvl w:val="0"/>
    </w:pPr>
    <w:rPr>
      <w:rFonts w:ascii="Arial" w:eastAsia="Times New Roman" w:hAnsi="Arial" w:cs="Arial"/>
      <w:b/>
      <w:bCs/>
      <w:iCs/>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D0EEE"/>
    <w:rPr>
      <w:rFonts w:ascii="Arial" w:eastAsia="Times New Roman" w:hAnsi="Arial" w:cs="Arial"/>
      <w:b/>
      <w:bCs/>
      <w:iCs/>
      <w:sz w:val="24"/>
      <w:szCs w:val="24"/>
      <w:lang w:val="es-ES_tradnl" w:eastAsia="es-ES"/>
    </w:rPr>
  </w:style>
  <w:style w:type="character" w:customStyle="1" w:styleId="PiedepginaCar">
    <w:name w:val="Pie de página Car"/>
    <w:basedOn w:val="Fuentedeprrafopredeter"/>
    <w:link w:val="Piedepgina"/>
    <w:locked/>
    <w:rsid w:val="007D0EEE"/>
    <w:rPr>
      <w:lang w:val="es-ES_tradnl" w:eastAsia="es-ES"/>
    </w:rPr>
  </w:style>
  <w:style w:type="paragraph" w:styleId="Piedepgina">
    <w:name w:val="footer"/>
    <w:basedOn w:val="Normal"/>
    <w:link w:val="PiedepginaCar"/>
    <w:rsid w:val="007D0EEE"/>
    <w:pPr>
      <w:tabs>
        <w:tab w:val="center" w:pos="4252"/>
        <w:tab w:val="right" w:pos="8504"/>
      </w:tabs>
      <w:overflowPunct w:val="0"/>
      <w:autoSpaceDE w:val="0"/>
      <w:autoSpaceDN w:val="0"/>
      <w:adjustRightInd w:val="0"/>
      <w:spacing w:after="0" w:line="240" w:lineRule="auto"/>
    </w:pPr>
    <w:rPr>
      <w:lang w:val="es-ES_tradnl" w:eastAsia="es-ES"/>
    </w:rPr>
  </w:style>
  <w:style w:type="character" w:customStyle="1" w:styleId="PiedepginaCar1">
    <w:name w:val="Pie de página Car1"/>
    <w:basedOn w:val="Fuentedeprrafopredeter"/>
    <w:uiPriority w:val="99"/>
    <w:semiHidden/>
    <w:rsid w:val="007D0EEE"/>
  </w:style>
  <w:style w:type="paragraph" w:styleId="Encabezado">
    <w:name w:val="header"/>
    <w:basedOn w:val="Normal"/>
    <w:link w:val="EncabezadoCar"/>
    <w:rsid w:val="007D0EEE"/>
    <w:pPr>
      <w:tabs>
        <w:tab w:val="center" w:pos="4252"/>
        <w:tab w:val="right" w:pos="8504"/>
      </w:tabs>
      <w:overflowPunct w:val="0"/>
      <w:autoSpaceDE w:val="0"/>
      <w:autoSpaceDN w:val="0"/>
      <w:adjustRightInd w:val="0"/>
      <w:spacing w:after="0" w:line="240" w:lineRule="auto"/>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rsid w:val="007D0EEE"/>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D0EEE"/>
    <w:pPr>
      <w:overflowPunct w:val="0"/>
      <w:autoSpaceDE w:val="0"/>
      <w:autoSpaceDN w:val="0"/>
      <w:adjustRightInd w:val="0"/>
      <w:spacing w:after="0" w:line="240" w:lineRule="auto"/>
      <w:jc w:val="center"/>
    </w:pPr>
    <w:rPr>
      <w:rFonts w:ascii="Century Gothic" w:eastAsia="Times New Roman" w:hAnsi="Century Gothic" w:cs="Times New Roman"/>
      <w:b/>
      <w:bCs/>
      <w:i/>
      <w:iCs/>
      <w:sz w:val="20"/>
      <w:szCs w:val="20"/>
      <w:lang w:val="es-ES_tradnl" w:eastAsia="es-ES"/>
    </w:rPr>
  </w:style>
  <w:style w:type="character" w:customStyle="1" w:styleId="TtuloCar">
    <w:name w:val="Título Car"/>
    <w:basedOn w:val="Fuentedeprrafopredeter"/>
    <w:link w:val="Ttulo"/>
    <w:locked/>
    <w:rsid w:val="007D0EEE"/>
    <w:rPr>
      <w:rFonts w:ascii="Comic Sans MS" w:hAnsi="Comic Sans MS"/>
      <w:b/>
      <w:bCs/>
      <w:sz w:val="28"/>
      <w:szCs w:val="28"/>
      <w:lang w:val="es-ES_tradnl" w:eastAsia="es-ES"/>
    </w:rPr>
  </w:style>
  <w:style w:type="paragraph" w:styleId="Ttulo">
    <w:name w:val="Title"/>
    <w:basedOn w:val="Normal"/>
    <w:link w:val="TtuloCar"/>
    <w:qFormat/>
    <w:rsid w:val="007D0EEE"/>
    <w:pPr>
      <w:overflowPunct w:val="0"/>
      <w:autoSpaceDE w:val="0"/>
      <w:autoSpaceDN w:val="0"/>
      <w:adjustRightInd w:val="0"/>
      <w:spacing w:after="0" w:line="240" w:lineRule="auto"/>
      <w:jc w:val="center"/>
    </w:pPr>
    <w:rPr>
      <w:rFonts w:ascii="Comic Sans MS" w:hAnsi="Comic Sans MS"/>
      <w:b/>
      <w:bCs/>
      <w:sz w:val="28"/>
      <w:szCs w:val="28"/>
      <w:lang w:val="es-ES_tradnl" w:eastAsia="es-ES"/>
    </w:rPr>
  </w:style>
  <w:style w:type="character" w:customStyle="1" w:styleId="PuestoCar1">
    <w:name w:val="Puesto Car1"/>
    <w:basedOn w:val="Fuentedeprrafopredeter"/>
    <w:uiPriority w:val="10"/>
    <w:rsid w:val="007D0EEE"/>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locked/>
    <w:rsid w:val="007D0EEE"/>
    <w:rPr>
      <w:b/>
      <w:bCs/>
      <w:lang w:val="es-ES_tradnl" w:eastAsia="es-ES"/>
    </w:rPr>
  </w:style>
  <w:style w:type="paragraph" w:styleId="Subttulo">
    <w:name w:val="Subtitle"/>
    <w:basedOn w:val="Normal"/>
    <w:link w:val="SubttuloCar"/>
    <w:qFormat/>
    <w:rsid w:val="007D0EEE"/>
    <w:pPr>
      <w:overflowPunct w:val="0"/>
      <w:autoSpaceDE w:val="0"/>
      <w:autoSpaceDN w:val="0"/>
      <w:adjustRightInd w:val="0"/>
      <w:spacing w:after="0" w:line="240" w:lineRule="auto"/>
      <w:jc w:val="center"/>
    </w:pPr>
    <w:rPr>
      <w:b/>
      <w:bCs/>
      <w:lang w:val="es-ES_tradnl" w:eastAsia="es-ES"/>
    </w:rPr>
  </w:style>
  <w:style w:type="character" w:customStyle="1" w:styleId="SubttuloCar1">
    <w:name w:val="Subtítulo Car1"/>
    <w:basedOn w:val="Fuentedeprrafopredeter"/>
    <w:uiPriority w:val="11"/>
    <w:rsid w:val="007D0EEE"/>
    <w:rPr>
      <w:rFonts w:eastAsiaTheme="minorEastAsia"/>
      <w:color w:val="5A5A5A" w:themeColor="text1" w:themeTint="A5"/>
      <w:spacing w:val="15"/>
    </w:rPr>
  </w:style>
  <w:style w:type="paragraph" w:styleId="Textodebloque">
    <w:name w:val="Block Text"/>
    <w:basedOn w:val="Normal"/>
    <w:rsid w:val="007D0EEE"/>
    <w:pPr>
      <w:overflowPunct w:val="0"/>
      <w:autoSpaceDE w:val="0"/>
      <w:autoSpaceDN w:val="0"/>
      <w:adjustRightInd w:val="0"/>
      <w:spacing w:after="0" w:line="480" w:lineRule="auto"/>
      <w:ind w:left="142" w:right="851" w:firstLine="425"/>
      <w:jc w:val="both"/>
      <w:textAlignment w:val="baseline"/>
    </w:pPr>
    <w:rPr>
      <w:rFonts w:ascii="Arial" w:eastAsia="Times New Roman" w:hAnsi="Arial" w:cs="Times New Roman"/>
    </w:rPr>
  </w:style>
  <w:style w:type="paragraph" w:styleId="Sangradetextonormal">
    <w:name w:val="Body Text Indent"/>
    <w:basedOn w:val="Normal"/>
    <w:link w:val="SangradetextonormalCar"/>
    <w:rsid w:val="007D0EEE"/>
    <w:pPr>
      <w:tabs>
        <w:tab w:val="left" w:pos="0"/>
      </w:tabs>
      <w:overflowPunct w:val="0"/>
      <w:autoSpaceDE w:val="0"/>
      <w:autoSpaceDN w:val="0"/>
      <w:adjustRightInd w:val="0"/>
      <w:spacing w:after="120" w:line="240" w:lineRule="auto"/>
      <w:ind w:left="283"/>
      <w:textAlignment w:val="baseline"/>
    </w:pPr>
    <w:rPr>
      <w:rFonts w:ascii="Courier New" w:eastAsia="Times New Roman" w:hAnsi="Courier New" w:cs="Times New Roman"/>
      <w:sz w:val="24"/>
      <w:szCs w:val="20"/>
      <w:lang w:val="es-ES_tradnl" w:eastAsia="es-ES"/>
    </w:rPr>
  </w:style>
  <w:style w:type="character" w:customStyle="1" w:styleId="SangradetextonormalCar">
    <w:name w:val="Sangría de texto normal Car"/>
    <w:basedOn w:val="Fuentedeprrafopredeter"/>
    <w:link w:val="Sangradetextonormal"/>
    <w:rsid w:val="007D0EEE"/>
    <w:rPr>
      <w:rFonts w:ascii="Courier New" w:eastAsia="Times New Roman" w:hAnsi="Courier New" w:cs="Times New Roman"/>
      <w:sz w:val="24"/>
      <w:szCs w:val="20"/>
      <w:lang w:val="es-ES_tradnl" w:eastAsia="es-ES"/>
    </w:rPr>
  </w:style>
  <w:style w:type="paragraph" w:styleId="Textodeglobo">
    <w:name w:val="Balloon Text"/>
    <w:basedOn w:val="Normal"/>
    <w:link w:val="TextodegloboCar"/>
    <w:uiPriority w:val="99"/>
    <w:semiHidden/>
    <w:unhideWhenUsed/>
    <w:rsid w:val="007D0E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0EEE"/>
    <w:rPr>
      <w:rFonts w:ascii="Segoe UI" w:hAnsi="Segoe UI" w:cs="Segoe UI"/>
      <w:sz w:val="18"/>
      <w:szCs w:val="18"/>
    </w:rPr>
  </w:style>
  <w:style w:type="paragraph" w:styleId="Textoindependiente">
    <w:name w:val="Body Text"/>
    <w:basedOn w:val="Normal"/>
    <w:link w:val="TextoindependienteCar"/>
    <w:uiPriority w:val="99"/>
    <w:semiHidden/>
    <w:unhideWhenUsed/>
    <w:rsid w:val="005F13C7"/>
    <w:pPr>
      <w:spacing w:after="120"/>
    </w:pPr>
  </w:style>
  <w:style w:type="character" w:customStyle="1" w:styleId="TextoindependienteCar">
    <w:name w:val="Texto independiente Car"/>
    <w:basedOn w:val="Fuentedeprrafopredeter"/>
    <w:link w:val="Textoindependiente"/>
    <w:uiPriority w:val="99"/>
    <w:semiHidden/>
    <w:rsid w:val="005F13C7"/>
  </w:style>
  <w:style w:type="paragraph" w:styleId="Textoindependienteprimerasangra">
    <w:name w:val="Body Text First Indent"/>
    <w:basedOn w:val="Textoindependiente"/>
    <w:link w:val="TextoindependienteprimerasangraCar"/>
    <w:uiPriority w:val="99"/>
    <w:semiHidden/>
    <w:unhideWhenUsed/>
    <w:rsid w:val="005F13C7"/>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5F13C7"/>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Footnote Text Char Char Char"/>
    <w:basedOn w:val="Normal"/>
    <w:link w:val="TextonotapieCar"/>
    <w:uiPriority w:val="99"/>
    <w:unhideWhenUsed/>
    <w:qFormat/>
    <w:rsid w:val="005F13C7"/>
    <w:pPr>
      <w:spacing w:after="0" w:line="240" w:lineRule="auto"/>
    </w:pPr>
    <w:rPr>
      <w:rFonts w:ascii="Calibri" w:eastAsia="Calibri" w:hAnsi="Calibri" w:cs="Times New Roman"/>
      <w:sz w:val="20"/>
      <w:szCs w:val="20"/>
    </w:rPr>
  </w:style>
  <w:style w:type="character" w:customStyle="1" w:styleId="TextonotapieCar">
    <w:name w:val="Texto nota pie Car"/>
    <w:aliases w:val="Footnote Text Char Char Char Char Char Car,Footnote Text Char Char Char Char Car,Footnote reference Car,FA Fu Car,texto de nota al pie Car,Footnote Text Char Car,Footnote Text Char Char Char Char Char Char Char Char Car"/>
    <w:basedOn w:val="Fuentedeprrafopredeter"/>
    <w:link w:val="Textonotapie"/>
    <w:uiPriority w:val="99"/>
    <w:qFormat/>
    <w:rsid w:val="005F13C7"/>
    <w:rPr>
      <w:rFonts w:ascii="Calibri" w:eastAsia="Calibri" w:hAnsi="Calibri" w:cs="Times New Roman"/>
      <w:sz w:val="20"/>
      <w:szCs w:val="20"/>
    </w:rPr>
  </w:style>
  <w:style w:type="character" w:styleId="Refdenotaalpie">
    <w:name w:val="footnote reference"/>
    <w:aliases w:val="Ref. de nota al pie 2,Pie de Página,FC,Texto de nota al pie,Footnotes refss,Appel note de bas de page,Footnote number,referencia nota al pie,BVI fnr,f,4_G,16 Point,Superscript 6 Point,Texto nota al pie,Fago Fußnotenzeichen,Pie de Pàg"/>
    <w:link w:val="4GChar"/>
    <w:uiPriority w:val="99"/>
    <w:unhideWhenUsed/>
    <w:qFormat/>
    <w:rsid w:val="005F13C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5F13C7"/>
    <w:pPr>
      <w:spacing w:after="0" w:line="240" w:lineRule="auto"/>
      <w:jc w:val="both"/>
    </w:pPr>
    <w:rPr>
      <w:vertAlign w:val="superscript"/>
    </w:rPr>
  </w:style>
  <w:style w:type="character" w:styleId="Hipervnculo">
    <w:name w:val="Hyperlink"/>
    <w:uiPriority w:val="99"/>
    <w:unhideWhenUsed/>
    <w:rsid w:val="005F13C7"/>
    <w:rPr>
      <w:color w:val="0000FF"/>
      <w:u w:val="single"/>
    </w:rPr>
  </w:style>
  <w:style w:type="character" w:customStyle="1" w:styleId="fcd75780be-af82-4910-82a0-aff24c879adc-3">
    <w:name w:val="fcd75780be-af82-4910-82a0-aff24c879adc-3"/>
    <w:basedOn w:val="Fuentedeprrafopredeter"/>
    <w:rsid w:val="005F13C7"/>
  </w:style>
  <w:style w:type="character" w:customStyle="1" w:styleId="fcd75780be-af82-4910-82a0-aff24c879adc-0">
    <w:name w:val="fcd75780be-af82-4910-82a0-aff24c879adc-0"/>
    <w:basedOn w:val="Fuentedeprrafopredeter"/>
    <w:rsid w:val="005F13C7"/>
  </w:style>
  <w:style w:type="character" w:customStyle="1" w:styleId="textonavy">
    <w:name w:val="texto_navy"/>
    <w:rsid w:val="00866933"/>
  </w:style>
  <w:style w:type="paragraph" w:styleId="Prrafodelista">
    <w:name w:val="List Paragraph"/>
    <w:aliases w:val="Citas,Bullets"/>
    <w:basedOn w:val="Normal"/>
    <w:link w:val="PrrafodelistaCar"/>
    <w:uiPriority w:val="34"/>
    <w:qFormat/>
    <w:rsid w:val="00CA770E"/>
    <w:pPr>
      <w:spacing w:after="0" w:line="240" w:lineRule="auto"/>
      <w:ind w:left="720"/>
      <w:contextualSpacing/>
    </w:pPr>
    <w:rPr>
      <w:rFonts w:ascii="Antique Olive" w:eastAsia="Times New Roman" w:hAnsi="Antique Olive" w:cs="Times New Roman"/>
      <w:spacing w:val="-3"/>
      <w:sz w:val="24"/>
      <w:szCs w:val="20"/>
      <w:lang w:eastAsia="es-ES"/>
    </w:rPr>
  </w:style>
  <w:style w:type="character" w:customStyle="1" w:styleId="PrrafodelistaCar">
    <w:name w:val="Párrafo de lista Car"/>
    <w:aliases w:val="Citas Car,Bullets Car"/>
    <w:link w:val="Prrafodelista"/>
    <w:uiPriority w:val="34"/>
    <w:qFormat/>
    <w:locked/>
    <w:rsid w:val="00CA770E"/>
    <w:rPr>
      <w:rFonts w:ascii="Antique Olive" w:eastAsia="Times New Roman" w:hAnsi="Antique Olive" w:cs="Times New Roman"/>
      <w:spacing w:val="-3"/>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B8A52-2060-49C1-88FB-955BF6193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802</Words>
  <Characters>4572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IBATASGAX10 SECRETARIA T.ADTIVO</dc:creator>
  <cp:lastModifiedBy>BELLANID</cp:lastModifiedBy>
  <cp:revision>5</cp:revision>
  <cp:lastPrinted>2016-07-27T14:07:00Z</cp:lastPrinted>
  <dcterms:created xsi:type="dcterms:W3CDTF">2021-09-05T23:19:00Z</dcterms:created>
  <dcterms:modified xsi:type="dcterms:W3CDTF">2021-09-05T23:38:00Z</dcterms:modified>
</cp:coreProperties>
</file>