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4C988326" w14:textId="142CE2C8" w:rsidR="00B713D2"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1904DF63" w14:textId="77777777" w:rsidR="00A42919" w:rsidRPr="00A42919" w:rsidRDefault="00A42919"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732E437A"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2E0562">
        <w:rPr>
          <w:rFonts w:ascii="Arial" w:eastAsia="Calibri" w:hAnsi="Arial" w:cs="Arial"/>
          <w:lang w:val="es-MX"/>
        </w:rPr>
        <w:t xml:space="preserve"> </w:t>
      </w:r>
      <w:r w:rsidR="001F4811">
        <w:rPr>
          <w:rFonts w:ascii="Arial" w:eastAsia="Calibri" w:hAnsi="Arial" w:cs="Arial"/>
          <w:lang w:val="es-MX"/>
        </w:rPr>
        <w:t>Orlando Andrés Ortiz Dallos</w:t>
      </w:r>
    </w:p>
    <w:p w14:paraId="5F7DBDD4" w14:textId="30506C5D" w:rsidR="00ED4ECD" w:rsidRPr="001F2D25" w:rsidRDefault="00535E96" w:rsidP="00B713D2">
      <w:pPr>
        <w:pStyle w:val="Sinespaciado"/>
        <w:ind w:left="-1134"/>
        <w:rPr>
          <w:rFonts w:ascii="Arial" w:hAnsi="Arial" w:cs="Arial"/>
          <w:lang w:val="es-MX"/>
        </w:rPr>
      </w:pPr>
      <w:r>
        <w:rPr>
          <w:rFonts w:ascii="Arial" w:hAnsi="Arial" w:cs="Arial"/>
          <w:lang w:val="es-MX"/>
        </w:rPr>
        <w:t>Fecha:  03/09/2021</w:t>
      </w:r>
    </w:p>
    <w:p w14:paraId="75E84AC6" w14:textId="6BE9A99D"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1F4811">
        <w:rPr>
          <w:rFonts w:ascii="Arial" w:hAnsi="Arial" w:cs="Arial"/>
          <w:lang w:val="es-MX"/>
        </w:rPr>
        <w:t>Nulidad y Restablecimiento del Derecho</w:t>
      </w:r>
    </w:p>
    <w:p w14:paraId="01FA1E8D" w14:textId="00E2C332" w:rsidR="002E0562" w:rsidRDefault="00B713D2" w:rsidP="002E0562">
      <w:pPr>
        <w:pStyle w:val="Sinespaciado"/>
        <w:ind w:left="-1134"/>
        <w:rPr>
          <w:rFonts w:ascii="Arial" w:hAnsi="Arial" w:cs="Arial"/>
          <w:lang w:val="es-MX"/>
        </w:rPr>
      </w:pPr>
      <w:r w:rsidRPr="001F2D25">
        <w:rPr>
          <w:rFonts w:ascii="Arial" w:hAnsi="Arial" w:cs="Arial"/>
          <w:lang w:val="es-MX"/>
        </w:rPr>
        <w:t>Demandante:</w:t>
      </w:r>
      <w:r w:rsidR="002E0562" w:rsidRPr="002E0562">
        <w:rPr>
          <w:rFonts w:ascii="Arial" w:hAnsi="Arial" w:cs="Arial"/>
          <w:lang w:val="es-MX"/>
        </w:rPr>
        <w:t xml:space="preserve"> </w:t>
      </w:r>
      <w:r w:rsidR="001F4811">
        <w:rPr>
          <w:rFonts w:ascii="Arial" w:hAnsi="Arial" w:cs="Arial"/>
          <w:lang w:val="es-MX"/>
        </w:rPr>
        <w:t>Ricardo de Armas Mendoza</w:t>
      </w:r>
    </w:p>
    <w:p w14:paraId="2628CEEE" w14:textId="2614D02F" w:rsidR="002E0562" w:rsidRPr="002E0562" w:rsidRDefault="00B713D2" w:rsidP="002E0562">
      <w:pPr>
        <w:pStyle w:val="Sinespaciado"/>
        <w:ind w:left="-1134"/>
        <w:rPr>
          <w:rFonts w:ascii="Arial" w:hAnsi="Arial" w:cs="Arial"/>
          <w:lang w:val="es-MX"/>
        </w:rPr>
      </w:pPr>
      <w:r w:rsidRPr="001F2D25">
        <w:rPr>
          <w:rFonts w:ascii="Arial" w:hAnsi="Arial" w:cs="Arial"/>
          <w:lang w:val="es-MX"/>
        </w:rPr>
        <w:t>Demandado:</w:t>
      </w:r>
      <w:r w:rsidR="002E0562" w:rsidRPr="002E0562">
        <w:t xml:space="preserve"> </w:t>
      </w:r>
      <w:r w:rsidR="001F4811">
        <w:rPr>
          <w:rFonts w:ascii="Arial" w:hAnsi="Arial" w:cs="Arial"/>
          <w:lang w:val="es-MX"/>
        </w:rPr>
        <w:t>Nación – Min. Educ. - Fomag</w:t>
      </w:r>
    </w:p>
    <w:p w14:paraId="1660C8A3" w14:textId="06974300" w:rsidR="00B713D2" w:rsidRPr="001F2D25" w:rsidRDefault="00B713D2" w:rsidP="00B713D2">
      <w:pPr>
        <w:pStyle w:val="Sinespaciado"/>
        <w:ind w:left="-1134"/>
        <w:rPr>
          <w:rFonts w:ascii="Arial" w:hAnsi="Arial" w:cs="Arial"/>
          <w:lang w:val="es-MX"/>
        </w:rPr>
      </w:pP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Default="00222D4A" w:rsidP="000F105D">
            <w:pPr>
              <w:pStyle w:val="Sinespaciado"/>
              <w:rPr>
                <w:rFonts w:ascii="Arial" w:eastAsia="Calibri" w:hAnsi="Arial" w:cs="Arial"/>
                <w:lang w:val="es-MX"/>
              </w:rPr>
            </w:pPr>
          </w:p>
          <w:p w14:paraId="34FDE4FE" w14:textId="77777777" w:rsidR="00543277" w:rsidRDefault="00467478" w:rsidP="00467478">
            <w:pPr>
              <w:pStyle w:val="Sinespaciado"/>
              <w:jc w:val="both"/>
              <w:rPr>
                <w:rFonts w:ascii="Arial" w:eastAsia="Calibri" w:hAnsi="Arial" w:cs="Arial"/>
                <w:b/>
                <w:lang w:val="es-MX"/>
              </w:rPr>
            </w:pPr>
            <w:r w:rsidRPr="00467478">
              <w:rPr>
                <w:rFonts w:ascii="Arial" w:eastAsia="Calibri" w:hAnsi="Arial" w:cs="Arial"/>
                <w:b/>
                <w:lang w:val="es-MX"/>
              </w:rPr>
              <w:t xml:space="preserve">Evidencia el expediente, el término de traslado de la demanda se encuentra vencido y las excepciones propuestas, no tiene el carácter de previas </w:t>
            </w:r>
            <w:r w:rsidR="00535E96">
              <w:rPr>
                <w:rFonts w:ascii="Arial" w:eastAsia="Calibri" w:hAnsi="Arial" w:cs="Arial"/>
                <w:b/>
                <w:lang w:val="es-MX"/>
              </w:rPr>
              <w:t>al no estar enlistadas en el artículo</w:t>
            </w:r>
          </w:p>
          <w:p w14:paraId="6E6ED5BE" w14:textId="478784C9" w:rsidR="00467478" w:rsidRPr="00467478" w:rsidRDefault="00535E96" w:rsidP="00467478">
            <w:pPr>
              <w:pStyle w:val="Sinespaciado"/>
              <w:jc w:val="both"/>
              <w:rPr>
                <w:rFonts w:ascii="Arial" w:eastAsia="Calibri" w:hAnsi="Arial" w:cs="Arial"/>
                <w:b/>
                <w:lang w:val="es-MX"/>
              </w:rPr>
            </w:pPr>
            <w:r>
              <w:rPr>
                <w:rFonts w:ascii="Arial" w:eastAsia="Calibri" w:hAnsi="Arial" w:cs="Arial"/>
                <w:b/>
                <w:lang w:val="es-MX"/>
              </w:rPr>
              <w:t xml:space="preserve"> 100 del CGP</w:t>
            </w:r>
            <w:r w:rsidR="00467478" w:rsidRPr="00467478">
              <w:rPr>
                <w:rFonts w:ascii="Arial" w:eastAsia="Calibri" w:hAnsi="Arial" w:cs="Arial"/>
                <w:b/>
                <w:lang w:val="es-MX"/>
              </w:rPr>
              <w:t xml:space="preserve">. </w:t>
            </w: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1A4E62CF"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18CE1172">
                      <wp:simplePos x="0" y="0"/>
                      <wp:positionH relativeFrom="column">
                        <wp:posOffset>3492288</wp:posOffset>
                      </wp:positionH>
                      <wp:positionV relativeFrom="paragraph">
                        <wp:posOffset>155997</wp:posOffset>
                      </wp:positionV>
                      <wp:extent cx="330200" cy="262467"/>
                      <wp:effectExtent l="0" t="0" r="12700" b="17145"/>
                      <wp:wrapNone/>
                      <wp:docPr id="5" name="Rectángulo 5"/>
                      <wp:cNvGraphicFramePr/>
                      <a:graphic xmlns:a="http://schemas.openxmlformats.org/drawingml/2006/main">
                        <a:graphicData uri="http://schemas.microsoft.com/office/word/2010/wordprocessingShape">
                          <wps:wsp>
                            <wps:cNvSpPr/>
                            <wps:spPr>
                              <a:xfrm>
                                <a:off x="0" y="0"/>
                                <a:ext cx="330200" cy="26246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C7B3A" id="Rectángulo 5" o:spid="_x0000_s1026" style="position:absolute;margin-left:275pt;margin-top:12.3pt;width:26pt;height:20.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" fillcolor="white [3201]" strokecolor="black [3213]"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078AD0E5" w:rsidR="00306339" w:rsidRDefault="00306339" w:rsidP="00341FFF">
            <w:pPr>
              <w:pStyle w:val="Sinespaciado"/>
              <w:ind w:left="708"/>
              <w:jc w:val="both"/>
              <w:rPr>
                <w:rFonts w:ascii="Arial" w:hAnsi="Arial" w:cs="Arial"/>
                <w:b/>
                <w:bCs/>
                <w:i/>
              </w:rPr>
            </w:pPr>
          </w:p>
          <w:p w14:paraId="0884ED88" w14:textId="4991C03F" w:rsidR="00341FFF" w:rsidRPr="001F2D25" w:rsidRDefault="00467478"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7788FD29">
                      <wp:simplePos x="0" y="0"/>
                      <wp:positionH relativeFrom="column">
                        <wp:posOffset>3126105</wp:posOffset>
                      </wp:positionH>
                      <wp:positionV relativeFrom="paragraph">
                        <wp:posOffset>-7620</wp:posOffset>
                      </wp:positionV>
                      <wp:extent cx="339725" cy="280035"/>
                      <wp:effectExtent l="0" t="0" r="15875" b="24765"/>
                      <wp:wrapNone/>
                      <wp:docPr id="6" name="Rectángulo 6"/>
                      <wp:cNvGraphicFramePr/>
                      <a:graphic xmlns:a="http://schemas.openxmlformats.org/drawingml/2006/main">
                        <a:graphicData uri="http://schemas.microsoft.com/office/word/2010/wordprocessingShape">
                          <wps:wsp>
                            <wps:cNvSpPr/>
                            <wps:spPr>
                              <a:xfrm>
                                <a:off x="0" y="0"/>
                                <a:ext cx="339725" cy="280035"/>
                              </a:xfrm>
                              <a:prstGeom prst="rect">
                                <a:avLst/>
                              </a:prstGeom>
                              <a:ln>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71EF0B73" w14:textId="0F1BFDE0" w:rsidR="002E0562" w:rsidRPr="00467478" w:rsidRDefault="00467478" w:rsidP="002E0562">
                                  <w:pPr>
                                    <w:jc w:val="center"/>
                                    <w:rPr>
                                      <w:b/>
                                      <w:lang w:val="es-MX"/>
                                    </w:rPr>
                                  </w:pPr>
                                  <w:r w:rsidRPr="00467478">
                                    <w:rPr>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6.15pt;margin-top:-.6pt;width:26.75pt;height:22.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" fillcolor="white [3201]" strokeweight="1pt">
                      <v:textbox>
                        <w:txbxContent>
                          <w:p w14:paraId="71EF0B73" w14:textId="0F1BFDE0" w:rsidR="002E0562" w:rsidRPr="00467478" w:rsidRDefault="00467478" w:rsidP="002E0562">
                            <w:pPr>
                              <w:jc w:val="center"/>
                              <w:rPr>
                                <w:b/>
                                <w:lang w:val="es-MX"/>
                              </w:rPr>
                            </w:pPr>
                            <w:r w:rsidRPr="00467478">
                              <w:rPr>
                                <w:b/>
                                <w:lang w:val="es-MX"/>
                              </w:rPr>
                              <w:t>X</w:t>
                            </w:r>
                          </w:p>
                        </w:txbxContent>
                      </v:textbox>
                    </v:rect>
                  </w:pict>
                </mc:Fallback>
              </mc:AlternateContent>
            </w:r>
            <w:r w:rsidR="00341FFF" w:rsidRPr="001F2D25">
              <w:rPr>
                <w:rFonts w:ascii="Arial" w:hAnsi="Arial" w:cs="Arial"/>
                <w:b/>
                <w:bCs/>
                <w:i/>
              </w:rPr>
              <w:t>b)</w:t>
            </w:r>
            <w:r w:rsidR="00341FFF"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48747252">
                      <wp:simplePos x="0" y="0"/>
                      <wp:positionH relativeFrom="column">
                        <wp:posOffset>1606550</wp:posOffset>
                      </wp:positionH>
                      <wp:positionV relativeFrom="paragraph">
                        <wp:posOffset>323214</wp:posOffset>
                      </wp:positionV>
                      <wp:extent cx="291432" cy="253599"/>
                      <wp:effectExtent l="0" t="0" r="13970" b="26035"/>
                      <wp:wrapNone/>
                      <wp:docPr id="15" name="Rectángulo 15"/>
                      <wp:cNvGraphicFramePr/>
                      <a:graphic xmlns:a="http://schemas.openxmlformats.org/drawingml/2006/main">
                        <a:graphicData uri="http://schemas.microsoft.com/office/word/2010/wordprocessingShape">
                          <wps:wsp>
                            <wps:cNvSpPr/>
                            <wps:spPr>
                              <a:xfrm>
                                <a:off x="0" y="0"/>
                                <a:ext cx="291432" cy="253599"/>
                              </a:xfrm>
                              <a:prstGeom prst="rect">
                                <a:avLst/>
                              </a:prstGeom>
                              <a:ln>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6694DAB5" w14:textId="35768B0E" w:rsidR="002E0562" w:rsidRPr="00467478" w:rsidRDefault="00467478" w:rsidP="002E0562">
                                  <w:pPr>
                                    <w:jc w:val="center"/>
                                    <w:rPr>
                                      <w:b/>
                                      <w:lang w:val="es-MX"/>
                                    </w:rPr>
                                  </w:pPr>
                                  <w:r w:rsidRPr="00467478">
                                    <w:rPr>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7" style="position:absolute;left:0;text-align:left;margin-left:126.5pt;margin-top:25.45pt;width:22.95pt;height:19.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" fillcolor="white [3201]" strokeweight="1pt">
                      <v:textbox>
                        <w:txbxContent>
                          <w:p w14:paraId="6694DAB5" w14:textId="35768B0E" w:rsidR="002E0562" w:rsidRPr="00467478" w:rsidRDefault="00467478" w:rsidP="002E0562">
                            <w:pPr>
                              <w:jc w:val="center"/>
                              <w:rPr>
                                <w:b/>
                                <w:lang w:val="es-MX"/>
                              </w:rPr>
                            </w:pPr>
                            <w:r w:rsidRPr="00467478">
                              <w:rPr>
                                <w:b/>
                                <w:lang w:val="es-MX"/>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15B48652">
                      <wp:simplePos x="0" y="0"/>
                      <wp:positionH relativeFrom="column">
                        <wp:posOffset>1021375</wp:posOffset>
                      </wp:positionH>
                      <wp:positionV relativeFrom="paragraph">
                        <wp:posOffset>176073</wp:posOffset>
                      </wp:positionV>
                      <wp:extent cx="250441" cy="180550"/>
                      <wp:effectExtent l="0" t="0" r="29210" b="228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a:ln>
                                <a:solidFill>
                                  <a:srgbClr val="00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EF22D"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" fillcolor="white [3201]"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Default="00D75A67" w:rsidP="00D75A67">
            <w:pPr>
              <w:pStyle w:val="Sinespaciado"/>
              <w:jc w:val="both"/>
              <w:rPr>
                <w:rFonts w:ascii="Arial" w:eastAsia="Calibri" w:hAnsi="Arial" w:cs="Arial"/>
                <w:lang w:val="es-MX"/>
              </w:rPr>
            </w:pPr>
          </w:p>
          <w:p w14:paraId="5D650AA6" w14:textId="4F4BED45" w:rsidR="0063405A" w:rsidRPr="0063405A" w:rsidRDefault="00535E96" w:rsidP="00D75A67">
            <w:pPr>
              <w:pStyle w:val="Sinespaciado"/>
              <w:jc w:val="both"/>
              <w:rPr>
                <w:rFonts w:ascii="Arial" w:eastAsia="Calibri" w:hAnsi="Arial" w:cs="Arial"/>
                <w:b/>
                <w:lang w:val="es-MX"/>
              </w:rPr>
            </w:pPr>
            <w:r>
              <w:rPr>
                <w:rFonts w:ascii="Arial" w:eastAsia="Calibri" w:hAnsi="Arial" w:cs="Arial"/>
                <w:b/>
                <w:lang w:val="es-MX"/>
              </w:rPr>
              <w:t>En el caso concreto</w:t>
            </w:r>
            <w:r w:rsidR="0063405A" w:rsidRPr="0063405A">
              <w:rPr>
                <w:rFonts w:ascii="Arial" w:eastAsia="Calibri" w:hAnsi="Arial" w:cs="Arial"/>
                <w:b/>
                <w:lang w:val="es-MX"/>
              </w:rPr>
              <w:t xml:space="preserve"> se prof</w:t>
            </w:r>
            <w:r>
              <w:rPr>
                <w:rFonts w:ascii="Arial" w:eastAsia="Calibri" w:hAnsi="Arial" w:cs="Arial"/>
                <w:b/>
                <w:lang w:val="es-MX"/>
              </w:rPr>
              <w:t xml:space="preserve">irió auto donde se </w:t>
            </w:r>
            <w:r w:rsidR="0063405A" w:rsidRPr="0063405A">
              <w:rPr>
                <w:rFonts w:ascii="Arial" w:eastAsia="Calibri" w:hAnsi="Arial" w:cs="Arial"/>
                <w:b/>
                <w:lang w:val="es-MX"/>
              </w:rPr>
              <w:t>incorporaron las pruebas oportunamente allegadas y así mismo, se fijó el litigio.</w:t>
            </w:r>
          </w:p>
          <w:p w14:paraId="3F402168" w14:textId="77777777" w:rsidR="0063405A" w:rsidRPr="001F2D25" w:rsidRDefault="0063405A"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Default="004430DA" w:rsidP="00222D4A">
            <w:pPr>
              <w:pStyle w:val="Sinespaciado"/>
              <w:rPr>
                <w:rFonts w:ascii="Arial" w:eastAsia="Calibri" w:hAnsi="Arial" w:cs="Arial"/>
                <w:lang w:val="es-MX"/>
              </w:rPr>
            </w:pPr>
          </w:p>
          <w:p w14:paraId="4C315260" w14:textId="54EC18ED" w:rsidR="0063405A" w:rsidRPr="0063405A" w:rsidRDefault="00535E96" w:rsidP="0063405A">
            <w:pPr>
              <w:pStyle w:val="Sinespaciado"/>
              <w:jc w:val="both"/>
              <w:rPr>
                <w:rFonts w:ascii="Arial" w:eastAsia="Calibri" w:hAnsi="Arial" w:cs="Arial"/>
                <w:b/>
                <w:lang w:val="es-MX"/>
              </w:rPr>
            </w:pPr>
            <w:r>
              <w:rPr>
                <w:rFonts w:ascii="Arial" w:eastAsia="Calibri" w:hAnsi="Arial" w:cs="Arial"/>
                <w:b/>
                <w:lang w:val="es-MX"/>
              </w:rPr>
              <w:t>Las partes presentaron de manera escrita sus alegatos de conclusión y el juez finalmente dicta sentencia anticipada en la cual se deniegan las pretensiones de la demanda.</w:t>
            </w:r>
          </w:p>
          <w:p w14:paraId="51546011" w14:textId="77777777" w:rsidR="0063405A" w:rsidRDefault="0063405A" w:rsidP="00A461DF">
            <w:pPr>
              <w:pStyle w:val="Sinespaciado"/>
              <w:jc w:val="both"/>
              <w:rPr>
                <w:rFonts w:ascii="Arial" w:eastAsia="Calibri" w:hAnsi="Arial" w:cs="Arial"/>
                <w:b/>
                <w:i/>
                <w:sz w:val="18"/>
                <w:szCs w:val="18"/>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 xml:space="preserve">Si la solicitud se hace por escrito, las partes podrán allegar con la petición de emisión de sentencia anticipada, sus alegatos de conclusión, de lo cual, se dará traslado por diez </w:t>
            </w:r>
            <w:r w:rsidRPr="001F2D25">
              <w:rPr>
                <w:rFonts w:ascii="Arial" w:hAnsi="Arial" w:cs="Arial"/>
                <w:iCs/>
              </w:rPr>
              <w:lastRenderedPageBreak/>
              <w:t>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28234271" w:rsidR="00ED4ECD" w:rsidRDefault="00ED4ECD" w:rsidP="00ED4ECD">
      <w:pPr>
        <w:rPr>
          <w:rFonts w:ascii="Arial" w:hAnsi="Arial" w:cs="Arial"/>
        </w:rPr>
      </w:pPr>
    </w:p>
    <w:p w14:paraId="2708B9CF" w14:textId="77777777" w:rsidR="00E3225D" w:rsidRPr="00DF311D" w:rsidRDefault="00E3225D" w:rsidP="00E3225D">
      <w:pPr>
        <w:suppressAutoHyphens/>
        <w:spacing w:after="0" w:line="240" w:lineRule="auto"/>
        <w:jc w:val="both"/>
        <w:rPr>
          <w:rFonts w:ascii="Times New Roman" w:hAnsi="Times New Roman"/>
          <w:color w:val="000000" w:themeColor="text1"/>
          <w:spacing w:val="-3"/>
          <w:sz w:val="28"/>
          <w:szCs w:val="28"/>
        </w:rPr>
      </w:pPr>
      <w:r w:rsidRPr="7BBC8C56">
        <w:rPr>
          <w:rFonts w:ascii="Times New Roman" w:hAnsi="Times New Roman"/>
          <w:color w:val="000000" w:themeColor="text1"/>
          <w:spacing w:val="-3"/>
          <w:sz w:val="28"/>
          <w:szCs w:val="28"/>
        </w:rPr>
        <w:lastRenderedPageBreak/>
        <w:t xml:space="preserve">Arauca, (A), </w:t>
      </w:r>
      <w:r>
        <w:rPr>
          <w:rFonts w:ascii="Times New Roman" w:hAnsi="Times New Roman"/>
          <w:color w:val="000000" w:themeColor="text1"/>
          <w:spacing w:val="-3"/>
          <w:sz w:val="28"/>
          <w:szCs w:val="28"/>
        </w:rPr>
        <w:t xml:space="preserve">31 </w:t>
      </w:r>
      <w:r w:rsidRPr="7BBC8C56">
        <w:rPr>
          <w:rFonts w:ascii="Times New Roman" w:hAnsi="Times New Roman"/>
          <w:color w:val="000000" w:themeColor="text1"/>
          <w:spacing w:val="-3"/>
          <w:sz w:val="28"/>
          <w:szCs w:val="28"/>
        </w:rPr>
        <w:t xml:space="preserve">de </w:t>
      </w:r>
      <w:r>
        <w:rPr>
          <w:rFonts w:ascii="Times New Roman" w:hAnsi="Times New Roman"/>
          <w:color w:val="000000" w:themeColor="text1"/>
          <w:spacing w:val="-3"/>
          <w:sz w:val="28"/>
          <w:szCs w:val="28"/>
        </w:rPr>
        <w:t>agosto</w:t>
      </w:r>
      <w:r w:rsidRPr="7BBC8C56">
        <w:rPr>
          <w:rFonts w:ascii="Times New Roman" w:hAnsi="Times New Roman"/>
          <w:color w:val="000000" w:themeColor="text1"/>
          <w:spacing w:val="-3"/>
          <w:sz w:val="28"/>
          <w:szCs w:val="28"/>
        </w:rPr>
        <w:t xml:space="preserve"> de 2021. </w:t>
      </w:r>
    </w:p>
    <w:p w14:paraId="14CCF9D1" w14:textId="77777777" w:rsidR="00E3225D" w:rsidRPr="00DF311D" w:rsidRDefault="00E3225D" w:rsidP="00E3225D">
      <w:pPr>
        <w:suppressAutoHyphens/>
        <w:spacing w:after="0" w:line="240" w:lineRule="auto"/>
        <w:jc w:val="both"/>
        <w:rPr>
          <w:rFonts w:ascii="Times New Roman" w:hAnsi="Times New Roman"/>
          <w:color w:val="000000" w:themeColor="text1"/>
          <w:spacing w:val="-3"/>
          <w:sz w:val="28"/>
          <w:szCs w:val="28"/>
        </w:rPr>
      </w:pPr>
    </w:p>
    <w:tbl>
      <w:tblPr>
        <w:tblStyle w:val="Tablaconcuadrc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9"/>
        <w:gridCol w:w="310"/>
        <w:gridCol w:w="4975"/>
      </w:tblGrid>
      <w:tr w:rsidR="00E3225D" w:rsidRPr="00DF311D" w14:paraId="052B3DDE" w14:textId="77777777" w:rsidTr="00E7732F">
        <w:tc>
          <w:tcPr>
            <w:tcW w:w="2547" w:type="dxa"/>
          </w:tcPr>
          <w:p w14:paraId="16988292" w14:textId="77777777" w:rsidR="00E3225D" w:rsidRPr="00DF311D" w:rsidRDefault="00E3225D" w:rsidP="00E7732F">
            <w:pPr>
              <w:widowControl w:val="0"/>
              <w:overflowPunct w:val="0"/>
              <w:autoSpaceDE w:val="0"/>
              <w:autoSpaceDN w:val="0"/>
              <w:adjustRightInd w:val="0"/>
              <w:rPr>
                <w:rFonts w:ascii="Times New Roman" w:hAnsi="Times New Roman"/>
                <w:b/>
                <w:bCs/>
                <w:color w:val="000000" w:themeColor="text1"/>
                <w:sz w:val="28"/>
                <w:szCs w:val="28"/>
              </w:rPr>
            </w:pPr>
            <w:r w:rsidRPr="55857CBA">
              <w:rPr>
                <w:rFonts w:ascii="Times New Roman" w:hAnsi="Times New Roman"/>
                <w:b/>
                <w:bCs/>
                <w:color w:val="000000" w:themeColor="text1"/>
                <w:sz w:val="28"/>
                <w:szCs w:val="28"/>
              </w:rPr>
              <w:t>Medio de Control</w:t>
            </w:r>
          </w:p>
        </w:tc>
        <w:tc>
          <w:tcPr>
            <w:tcW w:w="310" w:type="dxa"/>
          </w:tcPr>
          <w:p w14:paraId="73D5E4FE" w14:textId="77777777" w:rsidR="00E3225D" w:rsidRPr="00DF311D" w:rsidRDefault="00E3225D" w:rsidP="00E7732F">
            <w:pPr>
              <w:widowControl w:val="0"/>
              <w:overflowPunct w:val="0"/>
              <w:autoSpaceDE w:val="0"/>
              <w:autoSpaceDN w:val="0"/>
              <w:adjustRightInd w:val="0"/>
              <w:rPr>
                <w:rFonts w:ascii="Times New Roman" w:hAnsi="Times New Roman"/>
                <w:b/>
                <w:bCs/>
                <w:color w:val="000000" w:themeColor="text1"/>
                <w:sz w:val="28"/>
                <w:szCs w:val="28"/>
              </w:rPr>
            </w:pPr>
            <w:r w:rsidRPr="55857CBA">
              <w:rPr>
                <w:rFonts w:ascii="Times New Roman" w:hAnsi="Times New Roman"/>
                <w:b/>
                <w:bCs/>
                <w:color w:val="000000" w:themeColor="text1"/>
                <w:sz w:val="28"/>
                <w:szCs w:val="28"/>
              </w:rPr>
              <w:t>:</w:t>
            </w:r>
          </w:p>
        </w:tc>
        <w:tc>
          <w:tcPr>
            <w:tcW w:w="5507" w:type="dxa"/>
          </w:tcPr>
          <w:p w14:paraId="6FBEC8D3" w14:textId="77777777" w:rsidR="00E3225D" w:rsidRPr="00DF311D" w:rsidRDefault="00E3225D" w:rsidP="00E7732F">
            <w:pPr>
              <w:rPr>
                <w:rFonts w:ascii="Times New Roman" w:hAnsi="Times New Roman" w:cs="Times New Roman"/>
                <w:color w:val="000000" w:themeColor="text1"/>
                <w:sz w:val="28"/>
                <w:szCs w:val="28"/>
              </w:rPr>
            </w:pPr>
            <w:r w:rsidRPr="55857CBA">
              <w:rPr>
                <w:rFonts w:ascii="Times New Roman" w:hAnsi="Times New Roman" w:cs="Times New Roman"/>
                <w:color w:val="000000" w:themeColor="text1"/>
                <w:sz w:val="28"/>
                <w:szCs w:val="28"/>
              </w:rPr>
              <w:t>Nulidad y Restablecimiento del Derecho</w:t>
            </w:r>
          </w:p>
        </w:tc>
      </w:tr>
      <w:tr w:rsidR="00E3225D" w:rsidRPr="00DF311D" w14:paraId="7AF2A069" w14:textId="77777777" w:rsidTr="00E7732F">
        <w:tc>
          <w:tcPr>
            <w:tcW w:w="2547" w:type="dxa"/>
          </w:tcPr>
          <w:p w14:paraId="66F120D3" w14:textId="77777777" w:rsidR="00E3225D" w:rsidRPr="00DF311D" w:rsidRDefault="00E3225D" w:rsidP="00E7732F">
            <w:pPr>
              <w:widowControl w:val="0"/>
              <w:overflowPunct w:val="0"/>
              <w:autoSpaceDE w:val="0"/>
              <w:autoSpaceDN w:val="0"/>
              <w:adjustRightInd w:val="0"/>
              <w:rPr>
                <w:rFonts w:ascii="Times New Roman" w:hAnsi="Times New Roman"/>
                <w:b/>
                <w:bCs/>
                <w:color w:val="000000" w:themeColor="text1"/>
                <w:sz w:val="28"/>
                <w:szCs w:val="28"/>
              </w:rPr>
            </w:pPr>
            <w:r w:rsidRPr="55857CBA">
              <w:rPr>
                <w:rFonts w:ascii="Times New Roman" w:hAnsi="Times New Roman"/>
                <w:b/>
                <w:bCs/>
                <w:color w:val="000000" w:themeColor="text1"/>
                <w:sz w:val="28"/>
                <w:szCs w:val="28"/>
              </w:rPr>
              <w:t>Radicado</w:t>
            </w:r>
          </w:p>
        </w:tc>
        <w:tc>
          <w:tcPr>
            <w:tcW w:w="310" w:type="dxa"/>
          </w:tcPr>
          <w:p w14:paraId="4B851AD0" w14:textId="77777777" w:rsidR="00E3225D" w:rsidRPr="00DF311D" w:rsidRDefault="00E3225D" w:rsidP="00E7732F">
            <w:pPr>
              <w:widowControl w:val="0"/>
              <w:overflowPunct w:val="0"/>
              <w:autoSpaceDE w:val="0"/>
              <w:autoSpaceDN w:val="0"/>
              <w:adjustRightInd w:val="0"/>
              <w:rPr>
                <w:rFonts w:ascii="Times New Roman" w:hAnsi="Times New Roman"/>
                <w:b/>
                <w:bCs/>
                <w:color w:val="000000" w:themeColor="text1"/>
                <w:sz w:val="28"/>
                <w:szCs w:val="28"/>
              </w:rPr>
            </w:pPr>
            <w:r w:rsidRPr="55857CBA">
              <w:rPr>
                <w:rFonts w:ascii="Times New Roman" w:hAnsi="Times New Roman"/>
                <w:b/>
                <w:bCs/>
                <w:color w:val="000000" w:themeColor="text1"/>
                <w:sz w:val="28"/>
                <w:szCs w:val="28"/>
              </w:rPr>
              <w:t>:</w:t>
            </w:r>
          </w:p>
        </w:tc>
        <w:tc>
          <w:tcPr>
            <w:tcW w:w="5507" w:type="dxa"/>
          </w:tcPr>
          <w:p w14:paraId="4C628770" w14:textId="77777777" w:rsidR="00E3225D" w:rsidRPr="00DF311D" w:rsidRDefault="00E3225D" w:rsidP="00E7732F">
            <w:pPr>
              <w:widowControl w:val="0"/>
              <w:overflowPunct w:val="0"/>
              <w:autoSpaceDE w:val="0"/>
              <w:autoSpaceDN w:val="0"/>
              <w:adjustRightInd w:val="0"/>
              <w:rPr>
                <w:rFonts w:ascii="Times New Roman" w:hAnsi="Times New Roman" w:cs="Times New Roman"/>
                <w:color w:val="000000" w:themeColor="text1"/>
                <w:sz w:val="28"/>
                <w:szCs w:val="28"/>
              </w:rPr>
            </w:pPr>
            <w:r w:rsidRPr="55857CBA">
              <w:rPr>
                <w:rFonts w:ascii="Times New Roman" w:hAnsi="Times New Roman" w:cs="Times New Roman"/>
                <w:color w:val="000000" w:themeColor="text1"/>
                <w:sz w:val="28"/>
                <w:szCs w:val="28"/>
              </w:rPr>
              <w:t>81-001-33-33-002-2020-00</w:t>
            </w:r>
            <w:r>
              <w:rPr>
                <w:rFonts w:ascii="Times New Roman" w:hAnsi="Times New Roman" w:cs="Times New Roman"/>
                <w:color w:val="000000" w:themeColor="text1"/>
                <w:sz w:val="28"/>
                <w:szCs w:val="28"/>
              </w:rPr>
              <w:t>258</w:t>
            </w:r>
            <w:r w:rsidRPr="55857CBA">
              <w:rPr>
                <w:rFonts w:ascii="Times New Roman" w:hAnsi="Times New Roman" w:cs="Times New Roman"/>
                <w:color w:val="000000" w:themeColor="text1"/>
                <w:sz w:val="28"/>
                <w:szCs w:val="28"/>
              </w:rPr>
              <w:t>-00</w:t>
            </w:r>
          </w:p>
        </w:tc>
      </w:tr>
      <w:tr w:rsidR="00E3225D" w:rsidRPr="00DF311D" w14:paraId="26F87B3B" w14:textId="77777777" w:rsidTr="00E7732F">
        <w:tc>
          <w:tcPr>
            <w:tcW w:w="2547" w:type="dxa"/>
          </w:tcPr>
          <w:p w14:paraId="4900DC59" w14:textId="77777777" w:rsidR="00E3225D" w:rsidRPr="00DF311D" w:rsidRDefault="00E3225D" w:rsidP="00E7732F">
            <w:pPr>
              <w:widowControl w:val="0"/>
              <w:overflowPunct w:val="0"/>
              <w:autoSpaceDE w:val="0"/>
              <w:autoSpaceDN w:val="0"/>
              <w:adjustRightInd w:val="0"/>
              <w:rPr>
                <w:rFonts w:ascii="Times New Roman" w:hAnsi="Times New Roman"/>
                <w:b/>
                <w:bCs/>
                <w:color w:val="000000" w:themeColor="text1"/>
                <w:sz w:val="28"/>
                <w:szCs w:val="28"/>
              </w:rPr>
            </w:pPr>
            <w:r w:rsidRPr="55857CBA">
              <w:rPr>
                <w:rFonts w:ascii="Times New Roman" w:hAnsi="Times New Roman"/>
                <w:b/>
                <w:bCs/>
                <w:color w:val="000000" w:themeColor="text1"/>
                <w:sz w:val="28"/>
                <w:szCs w:val="28"/>
              </w:rPr>
              <w:t>Demandante</w:t>
            </w:r>
          </w:p>
        </w:tc>
        <w:tc>
          <w:tcPr>
            <w:tcW w:w="310" w:type="dxa"/>
          </w:tcPr>
          <w:p w14:paraId="41121414" w14:textId="77777777" w:rsidR="00E3225D" w:rsidRPr="00DF311D" w:rsidRDefault="00E3225D" w:rsidP="00E7732F">
            <w:pPr>
              <w:widowControl w:val="0"/>
              <w:overflowPunct w:val="0"/>
              <w:autoSpaceDE w:val="0"/>
              <w:autoSpaceDN w:val="0"/>
              <w:adjustRightInd w:val="0"/>
              <w:rPr>
                <w:rFonts w:ascii="Times New Roman" w:hAnsi="Times New Roman"/>
                <w:b/>
                <w:bCs/>
                <w:color w:val="000000" w:themeColor="text1"/>
                <w:sz w:val="28"/>
                <w:szCs w:val="28"/>
              </w:rPr>
            </w:pPr>
            <w:r w:rsidRPr="55857CBA">
              <w:rPr>
                <w:rFonts w:ascii="Times New Roman" w:hAnsi="Times New Roman"/>
                <w:b/>
                <w:bCs/>
                <w:color w:val="000000" w:themeColor="text1"/>
                <w:sz w:val="28"/>
                <w:szCs w:val="28"/>
              </w:rPr>
              <w:t>:</w:t>
            </w:r>
          </w:p>
        </w:tc>
        <w:tc>
          <w:tcPr>
            <w:tcW w:w="5507" w:type="dxa"/>
          </w:tcPr>
          <w:p w14:paraId="6D99239F" w14:textId="77777777" w:rsidR="00E3225D" w:rsidRPr="00DF311D" w:rsidRDefault="00E3225D" w:rsidP="00E7732F">
            <w:pPr>
              <w:widowControl w:val="0"/>
              <w:overflowPunct w:val="0"/>
              <w:autoSpaceDE w:val="0"/>
              <w:autoSpaceDN w:val="0"/>
              <w:adjustRightInd w:val="0"/>
              <w:rPr>
                <w:rFonts w:ascii="Times New Roman" w:eastAsia="Times New Roman" w:hAnsi="Times New Roman" w:cs="Times New Roman"/>
                <w:color w:val="000000" w:themeColor="text1"/>
                <w:sz w:val="28"/>
                <w:szCs w:val="28"/>
                <w:lang w:eastAsia="es-ES"/>
              </w:rPr>
            </w:pPr>
            <w:r>
              <w:rPr>
                <w:rFonts w:ascii="Times New Roman" w:eastAsia="Times New Roman" w:hAnsi="Times New Roman" w:cs="Times New Roman"/>
                <w:color w:val="000000" w:themeColor="text1"/>
                <w:sz w:val="28"/>
                <w:szCs w:val="28"/>
                <w:lang w:eastAsia="es-ES"/>
              </w:rPr>
              <w:t>Ricardo de Armas Mendoza</w:t>
            </w:r>
          </w:p>
        </w:tc>
      </w:tr>
      <w:tr w:rsidR="00E3225D" w:rsidRPr="00DF311D" w14:paraId="06E2C824" w14:textId="77777777" w:rsidTr="00E7732F">
        <w:tc>
          <w:tcPr>
            <w:tcW w:w="2547" w:type="dxa"/>
          </w:tcPr>
          <w:p w14:paraId="259C52A3" w14:textId="77777777" w:rsidR="00E3225D" w:rsidRPr="00DF311D" w:rsidRDefault="00E3225D" w:rsidP="00E7732F">
            <w:pPr>
              <w:widowControl w:val="0"/>
              <w:overflowPunct w:val="0"/>
              <w:autoSpaceDE w:val="0"/>
              <w:autoSpaceDN w:val="0"/>
              <w:adjustRightInd w:val="0"/>
              <w:rPr>
                <w:rFonts w:ascii="Times New Roman" w:hAnsi="Times New Roman"/>
                <w:b/>
                <w:bCs/>
                <w:color w:val="000000" w:themeColor="text1"/>
                <w:sz w:val="28"/>
                <w:szCs w:val="28"/>
              </w:rPr>
            </w:pPr>
            <w:r w:rsidRPr="55857CBA">
              <w:rPr>
                <w:rFonts w:ascii="Times New Roman" w:hAnsi="Times New Roman"/>
                <w:b/>
                <w:bCs/>
                <w:color w:val="000000" w:themeColor="text1"/>
                <w:sz w:val="28"/>
                <w:szCs w:val="28"/>
              </w:rPr>
              <w:t>Demandado</w:t>
            </w:r>
          </w:p>
        </w:tc>
        <w:tc>
          <w:tcPr>
            <w:tcW w:w="310" w:type="dxa"/>
          </w:tcPr>
          <w:p w14:paraId="791B06A3" w14:textId="77777777" w:rsidR="00E3225D" w:rsidRPr="00DF311D" w:rsidRDefault="00E3225D" w:rsidP="00E7732F">
            <w:pPr>
              <w:widowControl w:val="0"/>
              <w:overflowPunct w:val="0"/>
              <w:autoSpaceDE w:val="0"/>
              <w:autoSpaceDN w:val="0"/>
              <w:adjustRightInd w:val="0"/>
              <w:rPr>
                <w:rFonts w:ascii="Times New Roman" w:hAnsi="Times New Roman"/>
                <w:b/>
                <w:bCs/>
                <w:color w:val="000000" w:themeColor="text1"/>
                <w:sz w:val="28"/>
                <w:szCs w:val="28"/>
              </w:rPr>
            </w:pPr>
            <w:r w:rsidRPr="55857CBA">
              <w:rPr>
                <w:rFonts w:ascii="Times New Roman" w:hAnsi="Times New Roman"/>
                <w:b/>
                <w:bCs/>
                <w:color w:val="000000" w:themeColor="text1"/>
                <w:sz w:val="28"/>
                <w:szCs w:val="28"/>
              </w:rPr>
              <w:t>:</w:t>
            </w:r>
          </w:p>
        </w:tc>
        <w:tc>
          <w:tcPr>
            <w:tcW w:w="5507" w:type="dxa"/>
          </w:tcPr>
          <w:p w14:paraId="1CDA89BD" w14:textId="77777777" w:rsidR="00E3225D" w:rsidRPr="00DF311D" w:rsidRDefault="00E3225D" w:rsidP="00E7732F">
            <w:pPr>
              <w:jc w:val="both"/>
              <w:rPr>
                <w:rFonts w:ascii="Times New Roman" w:hAnsi="Times New Roman" w:cs="Times New Roman"/>
                <w:color w:val="000000" w:themeColor="text1"/>
                <w:sz w:val="28"/>
                <w:szCs w:val="28"/>
              </w:rPr>
            </w:pPr>
            <w:r w:rsidRPr="55857CBA">
              <w:rPr>
                <w:rFonts w:ascii="Times New Roman" w:hAnsi="Times New Roman" w:cs="Times New Roman"/>
                <w:color w:val="000000" w:themeColor="text1"/>
                <w:sz w:val="28"/>
                <w:szCs w:val="28"/>
              </w:rPr>
              <w:t>Nación – Ministerio de Educación – Fondo Nacional de Prestaciones Sociales del Magisterio (FOMAG)</w:t>
            </w:r>
          </w:p>
        </w:tc>
      </w:tr>
      <w:tr w:rsidR="00E3225D" w:rsidRPr="00DF311D" w14:paraId="6F4F4426" w14:textId="77777777" w:rsidTr="00E7732F">
        <w:tc>
          <w:tcPr>
            <w:tcW w:w="2547" w:type="dxa"/>
          </w:tcPr>
          <w:p w14:paraId="4524D48F" w14:textId="77777777" w:rsidR="00E3225D" w:rsidRPr="00DF311D" w:rsidRDefault="00E3225D" w:rsidP="00E7732F">
            <w:pPr>
              <w:widowControl w:val="0"/>
              <w:overflowPunct w:val="0"/>
              <w:autoSpaceDE w:val="0"/>
              <w:autoSpaceDN w:val="0"/>
              <w:adjustRightInd w:val="0"/>
              <w:rPr>
                <w:rFonts w:ascii="Times New Roman" w:hAnsi="Times New Roman"/>
                <w:b/>
                <w:bCs/>
                <w:color w:val="000000" w:themeColor="text1"/>
                <w:sz w:val="28"/>
                <w:szCs w:val="28"/>
              </w:rPr>
            </w:pPr>
            <w:r w:rsidRPr="55857CBA">
              <w:rPr>
                <w:rFonts w:ascii="Times New Roman" w:hAnsi="Times New Roman"/>
                <w:b/>
                <w:bCs/>
                <w:color w:val="000000" w:themeColor="text1"/>
                <w:sz w:val="28"/>
                <w:szCs w:val="28"/>
              </w:rPr>
              <w:t>Providencia</w:t>
            </w:r>
          </w:p>
        </w:tc>
        <w:tc>
          <w:tcPr>
            <w:tcW w:w="310" w:type="dxa"/>
          </w:tcPr>
          <w:p w14:paraId="30FB56BB" w14:textId="77777777" w:rsidR="00E3225D" w:rsidRPr="00DF311D" w:rsidRDefault="00E3225D" w:rsidP="00E7732F">
            <w:pPr>
              <w:widowControl w:val="0"/>
              <w:overflowPunct w:val="0"/>
              <w:autoSpaceDE w:val="0"/>
              <w:autoSpaceDN w:val="0"/>
              <w:adjustRightInd w:val="0"/>
              <w:rPr>
                <w:rFonts w:ascii="Times New Roman" w:hAnsi="Times New Roman"/>
                <w:b/>
                <w:bCs/>
                <w:color w:val="000000" w:themeColor="text1"/>
                <w:sz w:val="28"/>
                <w:szCs w:val="28"/>
              </w:rPr>
            </w:pPr>
            <w:r w:rsidRPr="55857CBA">
              <w:rPr>
                <w:rFonts w:ascii="Times New Roman" w:hAnsi="Times New Roman"/>
                <w:b/>
                <w:bCs/>
                <w:color w:val="000000" w:themeColor="text1"/>
                <w:sz w:val="28"/>
                <w:szCs w:val="28"/>
              </w:rPr>
              <w:t>:</w:t>
            </w:r>
          </w:p>
        </w:tc>
        <w:tc>
          <w:tcPr>
            <w:tcW w:w="5507" w:type="dxa"/>
          </w:tcPr>
          <w:p w14:paraId="353B032D" w14:textId="77777777" w:rsidR="00E3225D" w:rsidRPr="00DF311D" w:rsidRDefault="00E3225D" w:rsidP="00E7732F">
            <w:pPr>
              <w:widowControl w:val="0"/>
              <w:overflowPunct w:val="0"/>
              <w:autoSpaceDE w:val="0"/>
              <w:autoSpaceDN w:val="0"/>
              <w:adjustRightInd w:val="0"/>
              <w:rPr>
                <w:rFonts w:ascii="Times New Roman" w:hAnsi="Times New Roman" w:cs="Times New Roman"/>
                <w:color w:val="000000" w:themeColor="text1"/>
                <w:sz w:val="28"/>
                <w:szCs w:val="28"/>
              </w:rPr>
            </w:pPr>
            <w:r w:rsidRPr="55857CBA">
              <w:rPr>
                <w:rFonts w:ascii="Times New Roman" w:hAnsi="Times New Roman" w:cs="Times New Roman"/>
                <w:color w:val="000000" w:themeColor="text1"/>
                <w:sz w:val="28"/>
                <w:szCs w:val="28"/>
              </w:rPr>
              <w:t>Auto prescinde realización audiencia inicial y otras determinaciones.</w:t>
            </w:r>
          </w:p>
          <w:p w14:paraId="33F59483" w14:textId="77777777" w:rsidR="00E3225D" w:rsidRPr="00DF311D" w:rsidRDefault="00E3225D" w:rsidP="00E7732F">
            <w:pPr>
              <w:widowControl w:val="0"/>
              <w:overflowPunct w:val="0"/>
              <w:autoSpaceDE w:val="0"/>
              <w:autoSpaceDN w:val="0"/>
              <w:adjustRightInd w:val="0"/>
              <w:rPr>
                <w:rFonts w:ascii="Times New Roman" w:hAnsi="Times New Roman" w:cs="Times New Roman"/>
                <w:color w:val="000000" w:themeColor="text1"/>
                <w:sz w:val="28"/>
                <w:szCs w:val="28"/>
              </w:rPr>
            </w:pPr>
            <w:r w:rsidRPr="55857CBA">
              <w:rPr>
                <w:rFonts w:ascii="Times New Roman" w:hAnsi="Times New Roman" w:cs="Times New Roman"/>
                <w:color w:val="000000" w:themeColor="text1"/>
                <w:sz w:val="28"/>
                <w:szCs w:val="28"/>
              </w:rPr>
              <w:t xml:space="preserve"> </w:t>
            </w:r>
          </w:p>
        </w:tc>
      </w:tr>
    </w:tbl>
    <w:p w14:paraId="4EF6487C" w14:textId="77777777" w:rsidR="00E3225D" w:rsidRDefault="00E3225D" w:rsidP="00E3225D">
      <w:pPr>
        <w:pStyle w:val="Cuerpo"/>
        <w:jc w:val="center"/>
        <w:rPr>
          <w:rFonts w:ascii="Times New Roman" w:eastAsia="Times New Roman" w:hAnsi="Times New Roman" w:cs="Times New Roman"/>
          <w:color w:val="000000" w:themeColor="text1"/>
          <w:sz w:val="28"/>
          <w:szCs w:val="28"/>
          <w:lang w:val="es-ES"/>
        </w:rPr>
      </w:pPr>
      <w:r w:rsidRPr="47951FD3">
        <w:rPr>
          <w:rFonts w:ascii="Times New Roman" w:eastAsia="Times New Roman" w:hAnsi="Times New Roman" w:cs="Times New Roman"/>
          <w:b/>
          <w:bCs/>
          <w:color w:val="000000" w:themeColor="text1"/>
          <w:sz w:val="28"/>
          <w:szCs w:val="28"/>
          <w:lang w:val="es-ES"/>
        </w:rPr>
        <w:t>Antecedentes</w:t>
      </w:r>
    </w:p>
    <w:p w14:paraId="59479F6D" w14:textId="77777777" w:rsidR="00E3225D" w:rsidRDefault="00E3225D" w:rsidP="00E3225D">
      <w:pPr>
        <w:spacing w:after="0" w:line="240" w:lineRule="auto"/>
        <w:jc w:val="both"/>
        <w:rPr>
          <w:rFonts w:ascii="Times New Roman" w:eastAsia="Times New Roman" w:hAnsi="Times New Roman" w:cs="Times New Roman"/>
          <w:color w:val="000000" w:themeColor="text1"/>
          <w:sz w:val="28"/>
          <w:szCs w:val="28"/>
        </w:rPr>
      </w:pPr>
    </w:p>
    <w:p w14:paraId="2BBC0565" w14:textId="77777777" w:rsidR="00E3225D" w:rsidRDefault="00E3225D" w:rsidP="00E3225D">
      <w:pPr>
        <w:pStyle w:val="Predeterminado"/>
        <w:spacing w:before="0"/>
        <w:jc w:val="both"/>
        <w:rPr>
          <w:rFonts w:ascii="Times New Roman" w:eastAsia="Times New Roman" w:hAnsi="Times New Roman" w:cs="Times New Roman"/>
          <w:color w:val="000000" w:themeColor="text1"/>
          <w:sz w:val="28"/>
          <w:szCs w:val="28"/>
          <w:lang w:val="es-ES"/>
        </w:rPr>
      </w:pPr>
      <w:r w:rsidRPr="47951FD3">
        <w:rPr>
          <w:rFonts w:ascii="Times New Roman" w:eastAsia="Times New Roman" w:hAnsi="Times New Roman" w:cs="Times New Roman"/>
          <w:color w:val="000000" w:themeColor="text1"/>
          <w:sz w:val="28"/>
          <w:szCs w:val="28"/>
          <w:lang w:val="es-ES"/>
        </w:rPr>
        <w:t>Con la entrada en vigencia del artículo 38 de la Ley 2080 de 2021, las excepciones previas serán resueltas con posterioridad a su traslado mediante auto; así como también serán decididas las excepciones de cosa juzgada, caducidad, transacción, conciliación, falta manifiesta de legitimación en la causa y prescripción extintiva. Que de resultar prósperas la decisión se adoptará de sentencia anticipada.</w:t>
      </w:r>
    </w:p>
    <w:p w14:paraId="6727C3A3" w14:textId="77777777" w:rsidR="00E3225D" w:rsidRDefault="00E3225D" w:rsidP="00E3225D">
      <w:pPr>
        <w:pStyle w:val="Predeterminado"/>
        <w:spacing w:before="0"/>
        <w:jc w:val="both"/>
        <w:rPr>
          <w:rFonts w:ascii="Times New Roman" w:eastAsia="Times New Roman" w:hAnsi="Times New Roman" w:cs="Times New Roman"/>
          <w:color w:val="000000" w:themeColor="text1"/>
          <w:sz w:val="28"/>
          <w:szCs w:val="28"/>
          <w:lang w:val="es-ES"/>
        </w:rPr>
      </w:pPr>
    </w:p>
    <w:p w14:paraId="7B893D25" w14:textId="77777777" w:rsidR="00E3225D" w:rsidRDefault="00E3225D" w:rsidP="00E3225D">
      <w:pPr>
        <w:pStyle w:val="Predeterminado"/>
        <w:spacing w:before="0"/>
        <w:jc w:val="both"/>
        <w:rPr>
          <w:rFonts w:ascii="Times New Roman" w:eastAsia="Times New Roman" w:hAnsi="Times New Roman" w:cs="Times New Roman"/>
          <w:sz w:val="28"/>
          <w:szCs w:val="28"/>
          <w:shd w:val="clear" w:color="auto" w:fill="FFFFFF"/>
          <w:lang w:val="es-CO"/>
        </w:rPr>
      </w:pPr>
      <w:r w:rsidRPr="00F8455E">
        <w:rPr>
          <w:rFonts w:ascii="Times New Roman" w:eastAsia="Times New Roman" w:hAnsi="Times New Roman" w:cs="Times New Roman"/>
          <w:sz w:val="28"/>
          <w:szCs w:val="28"/>
          <w:shd w:val="clear" w:color="auto" w:fill="FFFFFF"/>
          <w:lang w:val="es-CO"/>
        </w:rPr>
        <w:t xml:space="preserve">En tal sentido, </w:t>
      </w:r>
      <w:r>
        <w:rPr>
          <w:rFonts w:ascii="Times New Roman" w:eastAsia="Times New Roman" w:hAnsi="Times New Roman" w:cs="Times New Roman"/>
          <w:sz w:val="28"/>
          <w:szCs w:val="28"/>
          <w:shd w:val="clear" w:color="auto" w:fill="FFFFFF"/>
          <w:lang w:val="es-CO"/>
        </w:rPr>
        <w:t>en este asunto,</w:t>
      </w:r>
      <w:r w:rsidRPr="00F8455E">
        <w:rPr>
          <w:rFonts w:ascii="Times New Roman" w:eastAsia="Times New Roman" w:hAnsi="Times New Roman" w:cs="Times New Roman"/>
          <w:sz w:val="28"/>
          <w:szCs w:val="28"/>
          <w:shd w:val="clear" w:color="auto" w:fill="FFFFFF"/>
          <w:lang w:val="es-CO"/>
        </w:rPr>
        <w:t xml:space="preserve"> </w:t>
      </w:r>
      <w:r>
        <w:rPr>
          <w:rFonts w:ascii="Times New Roman" w:eastAsia="Times New Roman" w:hAnsi="Times New Roman" w:cs="Times New Roman"/>
          <w:sz w:val="28"/>
          <w:szCs w:val="28"/>
          <w:shd w:val="clear" w:color="auto" w:fill="FFFFFF"/>
          <w:lang w:val="es-CO"/>
        </w:rPr>
        <w:t>la Secretaría del Despacho conforme al artículo 52 de la Ley 2080 de 2021</w:t>
      </w:r>
      <w:r w:rsidRPr="00F8455E">
        <w:rPr>
          <w:rFonts w:ascii="Times New Roman" w:eastAsia="Times New Roman" w:hAnsi="Times New Roman" w:cs="Times New Roman"/>
          <w:sz w:val="28"/>
          <w:szCs w:val="28"/>
          <w:shd w:val="clear" w:color="auto" w:fill="FFFFFF"/>
          <w:lang w:val="es-CO"/>
        </w:rPr>
        <w:t xml:space="preserve"> surtió el traslado de las excepciones propuestas,</w:t>
      </w:r>
      <w:r>
        <w:rPr>
          <w:rFonts w:ascii="Times New Roman" w:eastAsia="Times New Roman" w:hAnsi="Times New Roman" w:cs="Times New Roman"/>
          <w:sz w:val="28"/>
          <w:szCs w:val="28"/>
          <w:shd w:val="clear" w:color="auto" w:fill="FFFFFF"/>
          <w:lang w:val="es-CO"/>
        </w:rPr>
        <w:t xml:space="preserve"> por el término de 3 días desde el 24 de agosto al 26 de agosto de 2021 (Ver archivos</w:t>
      </w:r>
      <w:r w:rsidRPr="00F8455E">
        <w:rPr>
          <w:rFonts w:ascii="Times New Roman" w:eastAsia="Times New Roman" w:hAnsi="Times New Roman" w:cs="Times New Roman"/>
          <w:sz w:val="28"/>
          <w:szCs w:val="28"/>
          <w:shd w:val="clear" w:color="auto" w:fill="FFFFFF"/>
          <w:lang w:val="es-CO"/>
        </w:rPr>
        <w:t xml:space="preserve"> </w:t>
      </w:r>
      <w:r>
        <w:rPr>
          <w:rFonts w:ascii="Times New Roman" w:eastAsia="Times New Roman" w:hAnsi="Times New Roman" w:cs="Times New Roman"/>
          <w:sz w:val="28"/>
          <w:szCs w:val="28"/>
          <w:shd w:val="clear" w:color="auto" w:fill="FFFFFF"/>
          <w:lang w:val="es-CO"/>
        </w:rPr>
        <w:t xml:space="preserve">18AvisoTrasladoExcepciones y 19TrasladoExcepciones del expediente digital). </w:t>
      </w:r>
    </w:p>
    <w:p w14:paraId="5AFBBB16" w14:textId="77777777" w:rsidR="00E3225D" w:rsidRDefault="00E3225D" w:rsidP="00E3225D">
      <w:pPr>
        <w:pStyle w:val="Predeterminado"/>
        <w:spacing w:before="0"/>
        <w:jc w:val="both"/>
        <w:rPr>
          <w:rFonts w:ascii="Times New Roman" w:eastAsia="Times New Roman" w:hAnsi="Times New Roman" w:cs="Times New Roman"/>
          <w:sz w:val="28"/>
          <w:szCs w:val="28"/>
          <w:shd w:val="clear" w:color="auto" w:fill="FFFFFF"/>
          <w:lang w:val="es-CO"/>
        </w:rPr>
      </w:pPr>
    </w:p>
    <w:p w14:paraId="06452492" w14:textId="77777777" w:rsidR="00E3225D" w:rsidRDefault="00E3225D" w:rsidP="00E3225D">
      <w:pPr>
        <w:pStyle w:val="Predeterminado"/>
        <w:spacing w:before="0"/>
        <w:jc w:val="both"/>
        <w:rPr>
          <w:rFonts w:ascii="Times New Roman" w:eastAsia="Times New Roman" w:hAnsi="Times New Roman" w:cs="Times New Roman"/>
          <w:sz w:val="28"/>
          <w:szCs w:val="28"/>
          <w:shd w:val="clear" w:color="auto" w:fill="FFFFFF"/>
          <w:lang w:val="es-CO"/>
        </w:rPr>
      </w:pPr>
      <w:r>
        <w:rPr>
          <w:rFonts w:ascii="Times New Roman" w:eastAsia="Times New Roman" w:hAnsi="Times New Roman" w:cs="Times New Roman"/>
          <w:sz w:val="28"/>
          <w:szCs w:val="28"/>
          <w:shd w:val="clear" w:color="auto" w:fill="FFFFFF"/>
          <w:lang w:val="es-CO"/>
        </w:rPr>
        <w:t>Mediante escrito del 24 de agosto de 2021 la parte demandante descorrió traslado de las excepciones dentro del término legal.</w:t>
      </w:r>
    </w:p>
    <w:p w14:paraId="2598A5E5" w14:textId="77777777" w:rsidR="00E3225D" w:rsidRDefault="00E3225D" w:rsidP="00E3225D">
      <w:pPr>
        <w:pStyle w:val="Predeterminado"/>
        <w:spacing w:before="0"/>
        <w:jc w:val="both"/>
        <w:rPr>
          <w:rFonts w:ascii="Times New Roman" w:eastAsia="Times New Roman" w:hAnsi="Times New Roman" w:cs="Times New Roman"/>
          <w:sz w:val="28"/>
          <w:szCs w:val="28"/>
          <w:shd w:val="clear" w:color="auto" w:fill="FFFFFF"/>
          <w:lang w:val="es-CO"/>
        </w:rPr>
      </w:pPr>
    </w:p>
    <w:p w14:paraId="6C210626" w14:textId="77777777" w:rsidR="00E3225D" w:rsidRDefault="00E3225D" w:rsidP="00E3225D">
      <w:pPr>
        <w:pStyle w:val="Predeterminado"/>
        <w:spacing w:before="0"/>
        <w:jc w:val="both"/>
        <w:rPr>
          <w:rFonts w:ascii="Times New Roman" w:eastAsia="Times New Roman" w:hAnsi="Times New Roman" w:cs="Times New Roman"/>
          <w:sz w:val="28"/>
          <w:szCs w:val="28"/>
          <w:shd w:val="clear" w:color="auto" w:fill="FFFFFF"/>
          <w:lang w:val="es-CO"/>
        </w:rPr>
      </w:pPr>
      <w:r w:rsidRPr="00FA269B">
        <w:rPr>
          <w:rFonts w:ascii="Times New Roman" w:eastAsia="Times New Roman" w:hAnsi="Times New Roman" w:cs="Times New Roman"/>
          <w:sz w:val="28"/>
          <w:szCs w:val="28"/>
          <w:shd w:val="clear" w:color="auto" w:fill="FFFFFF"/>
          <w:lang w:val="es-CO"/>
        </w:rPr>
        <w:t>Dentro del plenario no se evidencia que la parte demandada haya propuesto alguna excepción previa</w:t>
      </w:r>
      <w:r>
        <w:rPr>
          <w:rFonts w:ascii="Times New Roman" w:eastAsia="Times New Roman" w:hAnsi="Times New Roman" w:cs="Times New Roman"/>
          <w:sz w:val="28"/>
          <w:szCs w:val="28"/>
          <w:shd w:val="clear" w:color="auto" w:fill="FFFFFF"/>
          <w:lang w:val="es-CO"/>
        </w:rPr>
        <w:t>. Respecto a las excepciones de: “</w:t>
      </w:r>
      <w:r w:rsidRPr="00FA269B">
        <w:rPr>
          <w:rFonts w:ascii="Times New Roman" w:eastAsia="Times New Roman" w:hAnsi="Times New Roman" w:cs="Times New Roman"/>
          <w:i/>
          <w:iCs/>
          <w:sz w:val="28"/>
          <w:szCs w:val="28"/>
          <w:shd w:val="clear" w:color="auto" w:fill="FFFFFF"/>
          <w:lang w:val="es-CO"/>
        </w:rPr>
        <w:t>Indebido agotamiento de la vía administrativa, legalidad de los actos administrativos atacados de nulidad, improcedencia de la indexación de las condenas, compensación, condena en costas</w:t>
      </w:r>
      <w:r>
        <w:rPr>
          <w:rFonts w:ascii="Times New Roman" w:eastAsia="Times New Roman" w:hAnsi="Times New Roman" w:cs="Times New Roman"/>
          <w:sz w:val="28"/>
          <w:szCs w:val="28"/>
          <w:shd w:val="clear" w:color="auto" w:fill="FFFFFF"/>
          <w:lang w:val="es-CO"/>
        </w:rPr>
        <w:t xml:space="preserve">”, las </w:t>
      </w:r>
      <w:r>
        <w:rPr>
          <w:rFonts w:ascii="Times New Roman" w:eastAsia="Times New Roman" w:hAnsi="Times New Roman" w:cs="Times New Roman"/>
          <w:sz w:val="28"/>
          <w:szCs w:val="28"/>
          <w:shd w:val="clear" w:color="auto" w:fill="FFFFFF"/>
          <w:lang w:val="es-CO"/>
        </w:rPr>
        <w:lastRenderedPageBreak/>
        <w:t xml:space="preserve">cuales son excepciones </w:t>
      </w:r>
      <w:r w:rsidRPr="00FA269B">
        <w:rPr>
          <w:rFonts w:ascii="Times New Roman" w:eastAsia="Times New Roman" w:hAnsi="Times New Roman" w:cs="Times New Roman"/>
          <w:sz w:val="28"/>
          <w:szCs w:val="28"/>
          <w:shd w:val="clear" w:color="auto" w:fill="FFFFFF"/>
          <w:lang w:val="es-CO"/>
        </w:rPr>
        <w:t>de mérito</w:t>
      </w:r>
      <w:r>
        <w:rPr>
          <w:rFonts w:ascii="Times New Roman" w:eastAsia="Times New Roman" w:hAnsi="Times New Roman" w:cs="Times New Roman"/>
          <w:sz w:val="28"/>
          <w:szCs w:val="28"/>
          <w:shd w:val="clear" w:color="auto" w:fill="FFFFFF"/>
          <w:lang w:val="es-CO"/>
        </w:rPr>
        <w:t xml:space="preserve"> o de fondo</w:t>
      </w:r>
      <w:r w:rsidRPr="00FA269B">
        <w:rPr>
          <w:rFonts w:ascii="Times New Roman" w:eastAsia="Times New Roman" w:hAnsi="Times New Roman" w:cs="Times New Roman"/>
          <w:sz w:val="28"/>
          <w:szCs w:val="28"/>
          <w:shd w:val="clear" w:color="auto" w:fill="FFFFFF"/>
          <w:lang w:val="es-CO"/>
        </w:rPr>
        <w:t>, por lo tanto,</w:t>
      </w:r>
      <w:r>
        <w:rPr>
          <w:rFonts w:ascii="Times New Roman" w:eastAsia="Times New Roman" w:hAnsi="Times New Roman" w:cs="Times New Roman"/>
          <w:sz w:val="28"/>
          <w:szCs w:val="28"/>
          <w:shd w:val="clear" w:color="auto" w:fill="FFFFFF"/>
          <w:lang w:val="es-CO"/>
        </w:rPr>
        <w:t xml:space="preserve"> deberán ser desatadas o resueltas en sentencia.</w:t>
      </w:r>
      <w:r w:rsidRPr="00FA269B">
        <w:rPr>
          <w:rFonts w:ascii="Times New Roman" w:eastAsia="Times New Roman" w:hAnsi="Times New Roman" w:cs="Times New Roman"/>
          <w:sz w:val="28"/>
          <w:szCs w:val="28"/>
          <w:shd w:val="clear" w:color="auto" w:fill="FFFFFF"/>
          <w:lang w:val="es-CO"/>
        </w:rPr>
        <w:t xml:space="preserve"> </w:t>
      </w:r>
      <w:r>
        <w:rPr>
          <w:rFonts w:ascii="Times New Roman" w:eastAsia="Times New Roman" w:hAnsi="Times New Roman" w:cs="Times New Roman"/>
          <w:sz w:val="28"/>
          <w:szCs w:val="28"/>
          <w:shd w:val="clear" w:color="auto" w:fill="FFFFFF"/>
          <w:lang w:val="es-CO"/>
        </w:rPr>
        <w:t xml:space="preserve">De manera </w:t>
      </w:r>
      <w:r w:rsidRPr="00FA269B">
        <w:rPr>
          <w:rFonts w:ascii="Times New Roman" w:eastAsia="Times New Roman" w:hAnsi="Times New Roman" w:cs="Times New Roman"/>
          <w:sz w:val="28"/>
          <w:szCs w:val="28"/>
          <w:shd w:val="clear" w:color="auto" w:fill="FFFFFF"/>
          <w:lang w:val="es-CO"/>
        </w:rPr>
        <w:t>no hay ninguna por resolver, así como el Despacho no encuentra alguna que deba decretarse de manera oficiosa. </w:t>
      </w:r>
    </w:p>
    <w:p w14:paraId="49F5D657" w14:textId="77777777" w:rsidR="00E3225D" w:rsidRDefault="00E3225D" w:rsidP="00E3225D">
      <w:pPr>
        <w:pStyle w:val="Predeterminado"/>
        <w:spacing w:before="0"/>
        <w:jc w:val="both"/>
        <w:rPr>
          <w:rFonts w:ascii="Times New Roman" w:eastAsia="Times New Roman" w:hAnsi="Times New Roman" w:cs="Times New Roman"/>
          <w:sz w:val="28"/>
          <w:szCs w:val="28"/>
          <w:shd w:val="clear" w:color="auto" w:fill="FFFFFF"/>
          <w:lang w:val="es-CO"/>
        </w:rPr>
      </w:pPr>
    </w:p>
    <w:p w14:paraId="772CAF3A" w14:textId="77777777" w:rsidR="00E3225D" w:rsidRPr="00FA269B" w:rsidRDefault="00E3225D" w:rsidP="00E3225D">
      <w:pPr>
        <w:pStyle w:val="Predeterminado"/>
        <w:spacing w:before="0"/>
        <w:jc w:val="both"/>
        <w:rPr>
          <w:rFonts w:ascii="Times New Roman" w:eastAsia="Times New Roman" w:hAnsi="Times New Roman" w:cs="Times New Roman"/>
          <w:sz w:val="28"/>
          <w:szCs w:val="28"/>
          <w:shd w:val="clear" w:color="auto" w:fill="FFFFFF"/>
          <w:lang w:val="es-CO"/>
        </w:rPr>
      </w:pPr>
      <w:r w:rsidRPr="009718C8">
        <w:rPr>
          <w:rFonts w:ascii="Times New Roman" w:eastAsia="Times New Roman" w:hAnsi="Times New Roman" w:cs="Times New Roman"/>
          <w:b/>
          <w:bCs/>
          <w:sz w:val="28"/>
          <w:szCs w:val="28"/>
          <w:lang w:val="es-CO"/>
        </w:rPr>
        <w:t>Otras decisiones</w:t>
      </w:r>
      <w:r w:rsidRPr="009718C8">
        <w:rPr>
          <w:rFonts w:ascii="Times New Roman" w:eastAsia="Times New Roman" w:hAnsi="Times New Roman" w:cs="Times New Roman"/>
          <w:sz w:val="28"/>
          <w:szCs w:val="28"/>
          <w:lang w:val="es-CO"/>
        </w:rPr>
        <w:t>  </w:t>
      </w:r>
    </w:p>
    <w:p w14:paraId="084B4C4B" w14:textId="77777777" w:rsidR="00E3225D" w:rsidRDefault="00E3225D" w:rsidP="00E3225D">
      <w:pPr>
        <w:spacing w:after="0" w:line="240" w:lineRule="auto"/>
        <w:jc w:val="both"/>
        <w:textAlignment w:val="baseline"/>
        <w:rPr>
          <w:rFonts w:ascii="Times New Roman" w:eastAsia="Times New Roman" w:hAnsi="Times New Roman" w:cs="Times New Roman"/>
          <w:color w:val="000000"/>
          <w:sz w:val="28"/>
          <w:szCs w:val="28"/>
          <w:lang w:eastAsia="es-MX"/>
        </w:rPr>
      </w:pPr>
    </w:p>
    <w:p w14:paraId="4BBA956A"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Times New Roman" w:eastAsia="Times New Roman" w:hAnsi="Times New Roman" w:cs="Times New Roman"/>
          <w:color w:val="000000"/>
          <w:sz w:val="28"/>
          <w:szCs w:val="28"/>
          <w:lang w:eastAsia="es-MX"/>
        </w:rPr>
        <w:t>El artículo 42 de la ley 2080 de 2021 dispuso la posibilidad de dictar sentencia anticipada en 4 casos. Uno de ellos es cuando no haya que practicar pruebas. En estos casos la sentencia anticipada se proferiría sin necesidad de adelantar audiencia inicial.   </w:t>
      </w:r>
    </w:p>
    <w:p w14:paraId="5002D7E0"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Helvetica Neue" w:eastAsia="Times New Roman" w:hAnsi="Helvetica Neue" w:cs="Segoe UI"/>
          <w:color w:val="000000"/>
          <w:sz w:val="24"/>
          <w:szCs w:val="24"/>
          <w:lang w:eastAsia="es-MX"/>
        </w:rPr>
        <w:t>  </w:t>
      </w:r>
    </w:p>
    <w:p w14:paraId="18209A73"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Times New Roman" w:eastAsia="Times New Roman" w:hAnsi="Times New Roman" w:cs="Times New Roman"/>
          <w:color w:val="000000"/>
          <w:sz w:val="28"/>
          <w:szCs w:val="28"/>
          <w:lang w:eastAsia="es-MX"/>
        </w:rPr>
        <w:t>En consideración a lo anterior, una vez revisada la demanda</w:t>
      </w:r>
      <w:r>
        <w:rPr>
          <w:rFonts w:ascii="Times New Roman" w:eastAsia="Times New Roman" w:hAnsi="Times New Roman" w:cs="Times New Roman"/>
          <w:color w:val="000000"/>
          <w:sz w:val="28"/>
          <w:szCs w:val="28"/>
          <w:lang w:eastAsia="es-MX"/>
        </w:rPr>
        <w:t xml:space="preserve"> y la contestación</w:t>
      </w:r>
      <w:r w:rsidRPr="00147934">
        <w:rPr>
          <w:rFonts w:ascii="Times New Roman" w:eastAsia="Times New Roman" w:hAnsi="Times New Roman" w:cs="Times New Roman"/>
          <w:color w:val="000000"/>
          <w:sz w:val="28"/>
          <w:szCs w:val="28"/>
          <w:lang w:eastAsia="es-MX"/>
        </w:rPr>
        <w:t>, se constata que las partes no solicitaron la practica de pruebas, y el Despacho no encuentra alguna que deba ser practicada de manera oficiosa. </w:t>
      </w:r>
    </w:p>
    <w:p w14:paraId="35D1DABC"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Times New Roman" w:eastAsia="Times New Roman" w:hAnsi="Times New Roman" w:cs="Times New Roman"/>
          <w:color w:val="000000"/>
          <w:sz w:val="28"/>
          <w:szCs w:val="28"/>
          <w:lang w:eastAsia="es-MX"/>
        </w:rPr>
        <w:t> </w:t>
      </w:r>
    </w:p>
    <w:p w14:paraId="4EC13789"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Times New Roman" w:eastAsia="Times New Roman" w:hAnsi="Times New Roman" w:cs="Times New Roman"/>
          <w:color w:val="000000"/>
          <w:sz w:val="28"/>
          <w:szCs w:val="28"/>
          <w:lang w:eastAsia="es-MX"/>
        </w:rPr>
        <w:t>Por lo tanto, no se programará fecha para la celebración de audiencia inicial, sino que se emitirá sentencia anticipada, de conformidad con el literal b del numeral 1 del artículo 42 de la Ley 2080 de 2021. Adicionalmente, resulta importante acotar que:  </w:t>
      </w:r>
    </w:p>
    <w:p w14:paraId="657C696B"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Helvetica Neue" w:eastAsia="Times New Roman" w:hAnsi="Helvetica Neue" w:cs="Segoe UI"/>
          <w:color w:val="000000"/>
          <w:sz w:val="24"/>
          <w:szCs w:val="24"/>
          <w:lang w:eastAsia="es-MX"/>
        </w:rPr>
        <w:t>  </w:t>
      </w:r>
    </w:p>
    <w:p w14:paraId="70E5283A"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Times New Roman" w:eastAsia="Times New Roman" w:hAnsi="Times New Roman" w:cs="Times New Roman"/>
          <w:color w:val="000000"/>
          <w:sz w:val="28"/>
          <w:szCs w:val="28"/>
          <w:lang w:eastAsia="es-MX"/>
        </w:rPr>
        <w:t>- No encuentra el Despacho ningún impedimento procesal o irregularidad que deba ser saneada antes de continuar el proceso, de conformidad con el artículo 207 del CPACA.   </w:t>
      </w:r>
    </w:p>
    <w:p w14:paraId="22452AAA"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p>
    <w:p w14:paraId="52827D52"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Times New Roman" w:eastAsia="Times New Roman" w:hAnsi="Times New Roman" w:cs="Times New Roman"/>
          <w:color w:val="000000"/>
          <w:sz w:val="28"/>
          <w:szCs w:val="28"/>
          <w:lang w:eastAsia="es-MX"/>
        </w:rPr>
        <w:t>- No hay medidas cautelares que resolver.   </w:t>
      </w:r>
    </w:p>
    <w:p w14:paraId="730E8A27"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Helvetica Neue" w:eastAsia="Times New Roman" w:hAnsi="Helvetica Neue" w:cs="Segoe UI"/>
          <w:color w:val="000000"/>
          <w:sz w:val="24"/>
          <w:szCs w:val="24"/>
          <w:lang w:eastAsia="es-MX"/>
        </w:rPr>
        <w:t>  </w:t>
      </w:r>
    </w:p>
    <w:p w14:paraId="0FD6F26E"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Times New Roman" w:eastAsia="Times New Roman" w:hAnsi="Times New Roman" w:cs="Times New Roman"/>
          <w:color w:val="000000"/>
          <w:sz w:val="28"/>
          <w:szCs w:val="28"/>
          <w:lang w:eastAsia="es-MX"/>
        </w:rPr>
        <w:t>- Fíjese el litigio en determinar</w:t>
      </w:r>
      <w:r w:rsidRPr="00147934">
        <w:rPr>
          <w:rFonts w:ascii="Times New Roman" w:eastAsia="Times New Roman" w:hAnsi="Times New Roman" w:cs="Times New Roman"/>
          <w:color w:val="000000"/>
          <w:sz w:val="28"/>
          <w:szCs w:val="28"/>
          <w:shd w:val="clear" w:color="auto" w:fill="FFFFFF"/>
          <w:lang w:eastAsia="es-MX"/>
        </w:rPr>
        <w:t> si las cesantías de la parte actora fueron pagadas de forma tardía y si en consecuencia, en calidad de Docente Oficial, tiene derecho a que se le reconozca la sanción moratoria consagrada en la Ley 1071 de 2006.</w:t>
      </w:r>
      <w:r w:rsidRPr="00147934">
        <w:rPr>
          <w:rFonts w:ascii="Times New Roman" w:eastAsia="Times New Roman" w:hAnsi="Times New Roman" w:cs="Times New Roman"/>
          <w:color w:val="000000"/>
          <w:sz w:val="28"/>
          <w:szCs w:val="28"/>
          <w:lang w:eastAsia="es-MX"/>
        </w:rPr>
        <w:t> </w:t>
      </w:r>
    </w:p>
    <w:p w14:paraId="441F2DF8"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Helvetica Neue" w:eastAsia="Times New Roman" w:hAnsi="Helvetica Neue" w:cs="Segoe UI"/>
          <w:color w:val="000000"/>
          <w:sz w:val="24"/>
          <w:szCs w:val="24"/>
          <w:lang w:eastAsia="es-MX"/>
        </w:rPr>
        <w:t>  </w:t>
      </w:r>
    </w:p>
    <w:p w14:paraId="7B334BEC"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Times New Roman" w:eastAsia="Times New Roman" w:hAnsi="Times New Roman" w:cs="Times New Roman"/>
          <w:color w:val="000000"/>
          <w:sz w:val="28"/>
          <w:szCs w:val="28"/>
          <w:lang w:eastAsia="es-MX"/>
        </w:rPr>
        <w:t>- Se incorporarán como pruebas al proceso, el escrito de demanda, su contestación y los anexos de ambos. A las cuales se les dará el mérito probatorio que la ley les otorgue.   </w:t>
      </w:r>
    </w:p>
    <w:p w14:paraId="79F48BDA"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Helvetica Neue" w:eastAsia="Times New Roman" w:hAnsi="Helvetica Neue" w:cs="Segoe UI"/>
          <w:color w:val="000000"/>
          <w:sz w:val="24"/>
          <w:szCs w:val="24"/>
          <w:lang w:eastAsia="es-MX"/>
        </w:rPr>
        <w:t>  </w:t>
      </w:r>
    </w:p>
    <w:p w14:paraId="35A6126C"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Times New Roman" w:eastAsia="Times New Roman" w:hAnsi="Times New Roman" w:cs="Times New Roman"/>
          <w:color w:val="000000"/>
          <w:sz w:val="28"/>
          <w:szCs w:val="28"/>
          <w:lang w:eastAsia="es-MX"/>
        </w:rPr>
        <w:t xml:space="preserve">Dicho esto, se le correrá traslado a las partes y al Ministerio Público para que presenten sus alegatos de conclusión y concepto </w:t>
      </w:r>
      <w:r w:rsidRPr="00147934">
        <w:rPr>
          <w:rFonts w:ascii="Times New Roman" w:eastAsia="Times New Roman" w:hAnsi="Times New Roman" w:cs="Times New Roman"/>
          <w:color w:val="000000"/>
          <w:sz w:val="28"/>
          <w:szCs w:val="28"/>
          <w:lang w:eastAsia="es-MX"/>
        </w:rPr>
        <w:lastRenderedPageBreak/>
        <w:t>respectivamente, por escrito, dentro del término de 10 días contados a partir del día siguiente a la notificación de esta providencia.   </w:t>
      </w:r>
    </w:p>
    <w:p w14:paraId="3F1D8630"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Helvetica Neue" w:eastAsia="Times New Roman" w:hAnsi="Helvetica Neue" w:cs="Segoe UI"/>
          <w:color w:val="000000"/>
          <w:sz w:val="24"/>
          <w:szCs w:val="24"/>
          <w:lang w:eastAsia="es-MX"/>
        </w:rPr>
        <w:t>  </w:t>
      </w:r>
    </w:p>
    <w:p w14:paraId="6AB1A7D1"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Times New Roman" w:eastAsia="Times New Roman" w:hAnsi="Times New Roman" w:cs="Times New Roman"/>
          <w:color w:val="000000"/>
          <w:sz w:val="28"/>
          <w:szCs w:val="28"/>
          <w:lang w:eastAsia="es-MX"/>
        </w:rPr>
        <w:t>Si las partes tienen ánimo conciliatorio, deberán manifestarlo al despacho dentro de ese mismo término, con el fin de tramitar lo pertinente, en virtud de los principios de celeridad y economía procesal. Sin perjuicio que en cualquier etapa del proceso lo puedan hacer.   </w:t>
      </w:r>
    </w:p>
    <w:p w14:paraId="3C7FE899"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Helvetica Neue" w:eastAsia="Times New Roman" w:hAnsi="Helvetica Neue" w:cs="Segoe UI"/>
          <w:color w:val="000000"/>
          <w:sz w:val="24"/>
          <w:szCs w:val="24"/>
          <w:lang w:eastAsia="es-MX"/>
        </w:rPr>
        <w:t>  </w:t>
      </w:r>
    </w:p>
    <w:p w14:paraId="120B1019"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Times New Roman" w:eastAsia="Times New Roman" w:hAnsi="Times New Roman" w:cs="Times New Roman"/>
          <w:color w:val="000000"/>
          <w:sz w:val="28"/>
          <w:szCs w:val="28"/>
          <w:lang w:eastAsia="es-MX"/>
        </w:rPr>
        <w:t>En virtud de lo anterior se,   </w:t>
      </w:r>
    </w:p>
    <w:p w14:paraId="4D7552BE" w14:textId="77777777" w:rsidR="00E3225D" w:rsidRPr="00147934" w:rsidRDefault="00E3225D" w:rsidP="00E3225D">
      <w:pPr>
        <w:spacing w:after="0" w:line="240" w:lineRule="auto"/>
        <w:textAlignment w:val="baseline"/>
        <w:rPr>
          <w:rFonts w:ascii="Segoe UI" w:eastAsia="Times New Roman" w:hAnsi="Segoe UI" w:cs="Segoe UI"/>
          <w:sz w:val="18"/>
          <w:szCs w:val="18"/>
          <w:lang w:eastAsia="es-MX"/>
        </w:rPr>
      </w:pPr>
      <w:r w:rsidRPr="00147934">
        <w:rPr>
          <w:rFonts w:ascii="Times New Roman" w:eastAsia="Times New Roman" w:hAnsi="Times New Roman" w:cs="Times New Roman"/>
          <w:color w:val="000000"/>
          <w:sz w:val="28"/>
          <w:szCs w:val="28"/>
          <w:lang w:eastAsia="es-MX"/>
        </w:rPr>
        <w:t> </w:t>
      </w:r>
    </w:p>
    <w:p w14:paraId="28F41DB0" w14:textId="77777777" w:rsidR="00E3225D" w:rsidRPr="00147934" w:rsidRDefault="00E3225D" w:rsidP="00E3225D">
      <w:pPr>
        <w:spacing w:after="0" w:line="240" w:lineRule="auto"/>
        <w:jc w:val="center"/>
        <w:textAlignment w:val="baseline"/>
        <w:rPr>
          <w:rFonts w:ascii="Segoe UI" w:eastAsia="Times New Roman" w:hAnsi="Segoe UI" w:cs="Segoe UI"/>
          <w:sz w:val="18"/>
          <w:szCs w:val="18"/>
          <w:lang w:eastAsia="es-MX"/>
        </w:rPr>
      </w:pPr>
      <w:r w:rsidRPr="00147934">
        <w:rPr>
          <w:rFonts w:ascii="Times New Roman" w:eastAsia="Times New Roman" w:hAnsi="Times New Roman" w:cs="Times New Roman"/>
          <w:b/>
          <w:bCs/>
          <w:color w:val="000000"/>
          <w:sz w:val="28"/>
          <w:szCs w:val="28"/>
          <w:lang w:eastAsia="es-MX"/>
        </w:rPr>
        <w:t>Resuelve</w:t>
      </w:r>
      <w:r w:rsidRPr="00147934">
        <w:rPr>
          <w:rFonts w:ascii="Times New Roman" w:eastAsia="Times New Roman" w:hAnsi="Times New Roman" w:cs="Times New Roman"/>
          <w:color w:val="000000"/>
          <w:sz w:val="28"/>
          <w:szCs w:val="28"/>
          <w:lang w:eastAsia="es-MX"/>
        </w:rPr>
        <w:t> </w:t>
      </w:r>
    </w:p>
    <w:p w14:paraId="3823BA89" w14:textId="77777777" w:rsidR="00E3225D" w:rsidRPr="00147934" w:rsidRDefault="00E3225D" w:rsidP="00E3225D">
      <w:pPr>
        <w:spacing w:after="0" w:line="240" w:lineRule="auto"/>
        <w:jc w:val="center"/>
        <w:textAlignment w:val="baseline"/>
        <w:rPr>
          <w:rFonts w:ascii="Segoe UI" w:eastAsia="Times New Roman" w:hAnsi="Segoe UI" w:cs="Segoe UI"/>
          <w:sz w:val="18"/>
          <w:szCs w:val="18"/>
          <w:lang w:eastAsia="es-MX"/>
        </w:rPr>
      </w:pPr>
      <w:r w:rsidRPr="00147934">
        <w:rPr>
          <w:rFonts w:ascii="Helvetica Neue" w:eastAsia="Times New Roman" w:hAnsi="Helvetica Neue" w:cs="Segoe UI"/>
          <w:color w:val="000000"/>
          <w:sz w:val="24"/>
          <w:szCs w:val="24"/>
          <w:lang w:eastAsia="es-MX"/>
        </w:rPr>
        <w:t>  </w:t>
      </w:r>
    </w:p>
    <w:p w14:paraId="4DB7EC31" w14:textId="77777777" w:rsidR="00E3225D" w:rsidRDefault="00E3225D" w:rsidP="00E3225D">
      <w:pPr>
        <w:spacing w:after="0" w:line="240" w:lineRule="auto"/>
        <w:jc w:val="both"/>
        <w:textAlignment w:val="baseline"/>
        <w:rPr>
          <w:rFonts w:ascii="Times New Roman" w:eastAsia="Times New Roman" w:hAnsi="Times New Roman" w:cs="Times New Roman"/>
          <w:b/>
          <w:bCs/>
          <w:color w:val="000000"/>
          <w:sz w:val="28"/>
          <w:szCs w:val="28"/>
          <w:lang w:eastAsia="es-MX"/>
        </w:rPr>
      </w:pPr>
      <w:r w:rsidRPr="00147934">
        <w:rPr>
          <w:rFonts w:ascii="Times New Roman" w:eastAsia="Times New Roman" w:hAnsi="Times New Roman" w:cs="Times New Roman"/>
          <w:b/>
          <w:bCs/>
          <w:color w:val="000000"/>
          <w:sz w:val="28"/>
          <w:szCs w:val="28"/>
          <w:lang w:eastAsia="es-MX"/>
        </w:rPr>
        <w:t>Primero: Abstenerse </w:t>
      </w:r>
      <w:r w:rsidRPr="00147934">
        <w:rPr>
          <w:rFonts w:ascii="Times New Roman" w:eastAsia="Times New Roman" w:hAnsi="Times New Roman" w:cs="Times New Roman"/>
          <w:color w:val="000000"/>
          <w:sz w:val="28"/>
          <w:szCs w:val="28"/>
          <w:lang w:eastAsia="es-MX"/>
        </w:rPr>
        <w:t>de resolver la</w:t>
      </w:r>
      <w:r>
        <w:rPr>
          <w:rFonts w:ascii="Times New Roman" w:eastAsia="Times New Roman" w:hAnsi="Times New Roman" w:cs="Times New Roman"/>
          <w:color w:val="000000"/>
          <w:sz w:val="28"/>
          <w:szCs w:val="28"/>
          <w:lang w:eastAsia="es-MX"/>
        </w:rPr>
        <w:t>s</w:t>
      </w:r>
      <w:r w:rsidRPr="00147934">
        <w:rPr>
          <w:rFonts w:ascii="Times New Roman" w:eastAsia="Times New Roman" w:hAnsi="Times New Roman" w:cs="Times New Roman"/>
          <w:color w:val="000000"/>
          <w:sz w:val="28"/>
          <w:szCs w:val="28"/>
          <w:lang w:eastAsia="es-MX"/>
        </w:rPr>
        <w:t xml:space="preserve"> excepci</w:t>
      </w:r>
      <w:r>
        <w:rPr>
          <w:rFonts w:ascii="Times New Roman" w:eastAsia="Times New Roman" w:hAnsi="Times New Roman" w:cs="Times New Roman"/>
          <w:color w:val="000000"/>
          <w:sz w:val="28"/>
          <w:szCs w:val="28"/>
          <w:lang w:eastAsia="es-MX"/>
        </w:rPr>
        <w:t xml:space="preserve">ones </w:t>
      </w:r>
      <w:r w:rsidRPr="00147934">
        <w:rPr>
          <w:rFonts w:ascii="Times New Roman" w:eastAsia="Times New Roman" w:hAnsi="Times New Roman" w:cs="Times New Roman"/>
          <w:color w:val="000000"/>
          <w:sz w:val="28"/>
          <w:szCs w:val="28"/>
          <w:lang w:eastAsia="es-MX"/>
        </w:rPr>
        <w:t>de</w:t>
      </w:r>
      <w:r>
        <w:rPr>
          <w:rFonts w:ascii="Times New Roman" w:eastAsia="Times New Roman" w:hAnsi="Times New Roman" w:cs="Times New Roman"/>
          <w:color w:val="000000"/>
          <w:sz w:val="28"/>
          <w:szCs w:val="28"/>
          <w:lang w:eastAsia="es-MX"/>
        </w:rPr>
        <w:t>: “</w:t>
      </w:r>
      <w:r w:rsidRPr="00FA269B">
        <w:rPr>
          <w:rFonts w:ascii="Times New Roman" w:eastAsia="Times New Roman" w:hAnsi="Times New Roman" w:cs="Times New Roman"/>
          <w:i/>
          <w:iCs/>
          <w:sz w:val="28"/>
          <w:szCs w:val="28"/>
          <w:shd w:val="clear" w:color="auto" w:fill="FFFFFF"/>
        </w:rPr>
        <w:t>Indebido agotamiento de la vía administrativa, legalidad de los actos administrativos atacados de nulidad, improcedencia de la indexación de las condenas, compensación, condena en costas</w:t>
      </w:r>
      <w:r>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color w:val="000000"/>
          <w:sz w:val="28"/>
          <w:szCs w:val="28"/>
          <w:lang w:eastAsia="es-MX"/>
        </w:rPr>
        <w:t xml:space="preserve"> </w:t>
      </w:r>
      <w:r w:rsidRPr="00147934">
        <w:rPr>
          <w:rFonts w:ascii="Times New Roman" w:eastAsia="Times New Roman" w:hAnsi="Times New Roman" w:cs="Times New Roman"/>
          <w:color w:val="000000"/>
          <w:sz w:val="28"/>
          <w:szCs w:val="28"/>
          <w:lang w:eastAsia="es-MX"/>
        </w:rPr>
        <w:t>en esta etapa procesal y difiérase su decisión hasta sentencia.  </w:t>
      </w:r>
    </w:p>
    <w:p w14:paraId="23ECE626" w14:textId="77777777" w:rsidR="00E3225D" w:rsidRDefault="00E3225D" w:rsidP="00E3225D">
      <w:pPr>
        <w:spacing w:after="0" w:line="240" w:lineRule="auto"/>
        <w:jc w:val="both"/>
        <w:textAlignment w:val="baseline"/>
        <w:rPr>
          <w:rFonts w:ascii="Times New Roman" w:eastAsia="Times New Roman" w:hAnsi="Times New Roman" w:cs="Times New Roman"/>
          <w:b/>
          <w:bCs/>
          <w:color w:val="000000"/>
          <w:sz w:val="28"/>
          <w:szCs w:val="28"/>
          <w:lang w:eastAsia="es-MX"/>
        </w:rPr>
      </w:pPr>
    </w:p>
    <w:p w14:paraId="52460B2F" w14:textId="77777777" w:rsidR="00E3225D" w:rsidRPr="00FA269B" w:rsidRDefault="00E3225D" w:rsidP="00E3225D">
      <w:pPr>
        <w:spacing w:after="0" w:line="240" w:lineRule="auto"/>
        <w:jc w:val="both"/>
        <w:textAlignment w:val="baseline"/>
        <w:rPr>
          <w:rFonts w:ascii="Times New Roman" w:eastAsia="Times New Roman" w:hAnsi="Times New Roman" w:cs="Times New Roman"/>
          <w:b/>
          <w:bCs/>
          <w:color w:val="000000"/>
          <w:sz w:val="28"/>
          <w:szCs w:val="28"/>
          <w:lang w:eastAsia="es-MX"/>
        </w:rPr>
      </w:pPr>
      <w:r>
        <w:rPr>
          <w:rFonts w:ascii="Times New Roman" w:eastAsia="Times New Roman" w:hAnsi="Times New Roman" w:cs="Times New Roman"/>
          <w:b/>
          <w:bCs/>
          <w:color w:val="000000"/>
          <w:sz w:val="28"/>
          <w:szCs w:val="28"/>
          <w:lang w:eastAsia="es-MX"/>
        </w:rPr>
        <w:t>Segundo</w:t>
      </w:r>
      <w:r w:rsidRPr="00147934">
        <w:rPr>
          <w:rFonts w:ascii="Times New Roman" w:eastAsia="Times New Roman" w:hAnsi="Times New Roman" w:cs="Times New Roman"/>
          <w:b/>
          <w:bCs/>
          <w:color w:val="000000"/>
          <w:sz w:val="28"/>
          <w:szCs w:val="28"/>
          <w:lang w:eastAsia="es-MX"/>
        </w:rPr>
        <w:t>: Declárese</w:t>
      </w:r>
      <w:r w:rsidRPr="00147934">
        <w:rPr>
          <w:rFonts w:ascii="Times New Roman" w:eastAsia="Times New Roman" w:hAnsi="Times New Roman" w:cs="Times New Roman"/>
          <w:color w:val="000000"/>
          <w:sz w:val="28"/>
          <w:szCs w:val="28"/>
          <w:lang w:eastAsia="es-MX"/>
        </w:rPr>
        <w:t> saneado el proceso hasta esta etapa procesal.  </w:t>
      </w:r>
    </w:p>
    <w:p w14:paraId="6427D992"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Helvetica Neue" w:eastAsia="Times New Roman" w:hAnsi="Helvetica Neue" w:cs="Segoe UI"/>
          <w:color w:val="000000"/>
          <w:sz w:val="24"/>
          <w:szCs w:val="24"/>
          <w:lang w:eastAsia="es-MX"/>
        </w:rPr>
        <w:t>  </w:t>
      </w:r>
    </w:p>
    <w:p w14:paraId="67D2AB86"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Pr>
          <w:rFonts w:ascii="Times New Roman" w:eastAsia="Times New Roman" w:hAnsi="Times New Roman" w:cs="Times New Roman"/>
          <w:b/>
          <w:bCs/>
          <w:color w:val="000000"/>
          <w:sz w:val="28"/>
          <w:szCs w:val="28"/>
          <w:lang w:eastAsia="es-MX"/>
        </w:rPr>
        <w:t>Tercero</w:t>
      </w:r>
      <w:r w:rsidRPr="00147934">
        <w:rPr>
          <w:rFonts w:ascii="Times New Roman" w:eastAsia="Times New Roman" w:hAnsi="Times New Roman" w:cs="Times New Roman"/>
          <w:b/>
          <w:bCs/>
          <w:color w:val="000000"/>
          <w:sz w:val="28"/>
          <w:szCs w:val="28"/>
          <w:lang w:eastAsia="es-MX"/>
        </w:rPr>
        <w:t>: Fíjese</w:t>
      </w:r>
      <w:r w:rsidRPr="00147934">
        <w:rPr>
          <w:rFonts w:ascii="Times New Roman" w:eastAsia="Times New Roman" w:hAnsi="Times New Roman" w:cs="Times New Roman"/>
          <w:color w:val="000000"/>
          <w:sz w:val="28"/>
          <w:szCs w:val="28"/>
          <w:lang w:eastAsia="es-MX"/>
        </w:rPr>
        <w:t> el litigio en determinar </w:t>
      </w:r>
      <w:r w:rsidRPr="00147934">
        <w:rPr>
          <w:rFonts w:ascii="Times New Roman" w:eastAsia="Times New Roman" w:hAnsi="Times New Roman" w:cs="Times New Roman"/>
          <w:color w:val="000000"/>
          <w:sz w:val="28"/>
          <w:szCs w:val="28"/>
          <w:shd w:val="clear" w:color="auto" w:fill="FFFFFF"/>
          <w:lang w:eastAsia="es-MX"/>
        </w:rPr>
        <w:t>si las cesantías de la parte actora fueron pagadas de forma tardía y si en consecuencia, en calidad de Docente Oficial, tiene derecho a que se le reconozca la sanción moratoria consagrada en la Ley 1071 de 2006.</w:t>
      </w:r>
      <w:r w:rsidRPr="00147934">
        <w:rPr>
          <w:rFonts w:ascii="Times New Roman" w:eastAsia="Times New Roman" w:hAnsi="Times New Roman" w:cs="Times New Roman"/>
          <w:color w:val="000000"/>
          <w:sz w:val="28"/>
          <w:szCs w:val="28"/>
          <w:lang w:eastAsia="es-MX"/>
        </w:rPr>
        <w:t> </w:t>
      </w:r>
    </w:p>
    <w:p w14:paraId="180B2CB1"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Helvetica Neue" w:eastAsia="Times New Roman" w:hAnsi="Helvetica Neue" w:cs="Segoe UI"/>
          <w:color w:val="000000"/>
          <w:sz w:val="24"/>
          <w:szCs w:val="24"/>
          <w:lang w:eastAsia="es-MX"/>
        </w:rPr>
        <w:t>  </w:t>
      </w:r>
    </w:p>
    <w:p w14:paraId="7FBE432F"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Pr>
          <w:rFonts w:ascii="Times New Roman" w:eastAsia="Times New Roman" w:hAnsi="Times New Roman" w:cs="Times New Roman"/>
          <w:b/>
          <w:bCs/>
          <w:color w:val="000000"/>
          <w:sz w:val="28"/>
          <w:szCs w:val="28"/>
          <w:lang w:eastAsia="es-MX"/>
        </w:rPr>
        <w:t>Cuarto</w:t>
      </w:r>
      <w:r w:rsidRPr="00147934">
        <w:rPr>
          <w:rFonts w:ascii="Times New Roman" w:eastAsia="Times New Roman" w:hAnsi="Times New Roman" w:cs="Times New Roman"/>
          <w:b/>
          <w:bCs/>
          <w:color w:val="000000"/>
          <w:sz w:val="28"/>
          <w:szCs w:val="28"/>
          <w:lang w:eastAsia="es-MX"/>
        </w:rPr>
        <w:t>:</w:t>
      </w:r>
      <w:r w:rsidRPr="00147934">
        <w:rPr>
          <w:rFonts w:ascii="Times New Roman" w:eastAsia="Times New Roman" w:hAnsi="Times New Roman" w:cs="Times New Roman"/>
          <w:color w:val="000000"/>
          <w:sz w:val="28"/>
          <w:szCs w:val="28"/>
          <w:lang w:eastAsia="es-MX"/>
        </w:rPr>
        <w:t> </w:t>
      </w:r>
      <w:r w:rsidRPr="00147934">
        <w:rPr>
          <w:rFonts w:ascii="Times New Roman" w:eastAsia="Times New Roman" w:hAnsi="Times New Roman" w:cs="Times New Roman"/>
          <w:b/>
          <w:bCs/>
          <w:color w:val="000000"/>
          <w:sz w:val="28"/>
          <w:szCs w:val="28"/>
          <w:lang w:eastAsia="es-MX"/>
        </w:rPr>
        <w:t>Incorpórense</w:t>
      </w:r>
      <w:r w:rsidRPr="00147934">
        <w:rPr>
          <w:rFonts w:ascii="Times New Roman" w:eastAsia="Times New Roman" w:hAnsi="Times New Roman" w:cs="Times New Roman"/>
          <w:color w:val="000000"/>
          <w:sz w:val="28"/>
          <w:szCs w:val="28"/>
          <w:lang w:eastAsia="es-MX"/>
        </w:rPr>
        <w:t> como pruebas al proceso, el escrito de demanda, su contestación y todos sus anexos. A las cuales se les da el mérito probatorio que la ley les otorgue.  </w:t>
      </w:r>
    </w:p>
    <w:p w14:paraId="41246DD1"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Helvetica Neue" w:eastAsia="Times New Roman" w:hAnsi="Helvetica Neue" w:cs="Segoe UI"/>
          <w:color w:val="000000"/>
          <w:sz w:val="24"/>
          <w:szCs w:val="24"/>
          <w:lang w:eastAsia="es-MX"/>
        </w:rPr>
        <w:t>  </w:t>
      </w:r>
    </w:p>
    <w:p w14:paraId="2D95BBA0"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Pr>
          <w:rFonts w:ascii="Times New Roman" w:eastAsia="Times New Roman" w:hAnsi="Times New Roman" w:cs="Times New Roman"/>
          <w:b/>
          <w:bCs/>
          <w:color w:val="000000"/>
          <w:sz w:val="28"/>
          <w:szCs w:val="28"/>
          <w:lang w:eastAsia="es-MX"/>
        </w:rPr>
        <w:t>Quinto</w:t>
      </w:r>
      <w:r w:rsidRPr="00147934">
        <w:rPr>
          <w:rFonts w:ascii="Times New Roman" w:eastAsia="Times New Roman" w:hAnsi="Times New Roman" w:cs="Times New Roman"/>
          <w:b/>
          <w:bCs/>
          <w:color w:val="000000"/>
          <w:sz w:val="28"/>
          <w:szCs w:val="28"/>
          <w:lang w:eastAsia="es-MX"/>
        </w:rPr>
        <w:t>: Córrase </w:t>
      </w:r>
      <w:r w:rsidRPr="00147934">
        <w:rPr>
          <w:rFonts w:ascii="Times New Roman" w:eastAsia="Times New Roman" w:hAnsi="Times New Roman" w:cs="Times New Roman"/>
          <w:color w:val="000000"/>
          <w:sz w:val="28"/>
          <w:szCs w:val="28"/>
          <w:lang w:eastAsia="es-MX"/>
        </w:rPr>
        <w:t>traslado a las partes y al Ministerio Público para que remitan al correo </w:t>
      </w:r>
      <w:hyperlink r:id="rId9" w:tgtFrame="_blank" w:history="1">
        <w:r w:rsidRPr="00147934">
          <w:rPr>
            <w:rFonts w:ascii="Times New Roman" w:eastAsia="Times New Roman" w:hAnsi="Times New Roman" w:cs="Times New Roman"/>
            <w:color w:val="000000"/>
            <w:sz w:val="28"/>
            <w:szCs w:val="28"/>
            <w:u w:val="single"/>
            <w:lang w:eastAsia="es-MX"/>
          </w:rPr>
          <w:t>j2adarau@cendoj.ramajudicial.gov.co</w:t>
        </w:r>
      </w:hyperlink>
      <w:r w:rsidRPr="00147934">
        <w:rPr>
          <w:rFonts w:ascii="Times New Roman" w:eastAsia="Times New Roman" w:hAnsi="Times New Roman" w:cs="Times New Roman"/>
          <w:color w:val="000000"/>
          <w:sz w:val="28"/>
          <w:szCs w:val="28"/>
          <w:lang w:eastAsia="es-MX"/>
        </w:rPr>
        <w:t> sus alegatos de conclusión y concepto respectivamente, por escrito, dentro del término de 10 días contados a partir del día siguiente a la notificación de esta providencia.   </w:t>
      </w:r>
    </w:p>
    <w:p w14:paraId="644BB4A7"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Helvetica Neue" w:eastAsia="Times New Roman" w:hAnsi="Helvetica Neue" w:cs="Segoe UI"/>
          <w:color w:val="000000"/>
          <w:sz w:val="24"/>
          <w:szCs w:val="24"/>
          <w:lang w:eastAsia="es-MX"/>
        </w:rPr>
        <w:t>  </w:t>
      </w:r>
    </w:p>
    <w:p w14:paraId="475E481A"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Pr>
          <w:rFonts w:ascii="Times New Roman" w:eastAsia="Times New Roman" w:hAnsi="Times New Roman" w:cs="Times New Roman"/>
          <w:b/>
          <w:bCs/>
          <w:color w:val="000000"/>
          <w:sz w:val="28"/>
          <w:szCs w:val="28"/>
          <w:lang w:eastAsia="es-MX"/>
        </w:rPr>
        <w:t>Sext</w:t>
      </w:r>
      <w:r w:rsidRPr="00147934">
        <w:rPr>
          <w:rFonts w:ascii="Times New Roman" w:eastAsia="Times New Roman" w:hAnsi="Times New Roman" w:cs="Times New Roman"/>
          <w:b/>
          <w:bCs/>
          <w:color w:val="000000"/>
          <w:sz w:val="28"/>
          <w:szCs w:val="28"/>
          <w:lang w:eastAsia="es-MX"/>
        </w:rPr>
        <w:t>o: Infórmese</w:t>
      </w:r>
      <w:r w:rsidRPr="00147934">
        <w:rPr>
          <w:rFonts w:ascii="Times New Roman" w:eastAsia="Times New Roman" w:hAnsi="Times New Roman" w:cs="Times New Roman"/>
          <w:color w:val="000000"/>
          <w:sz w:val="28"/>
          <w:szCs w:val="28"/>
          <w:lang w:eastAsia="es-MX"/>
        </w:rPr>
        <w:t> a las partes que se emitirá sentencia anticipada en los términos del literal b del numeral 1 del artículo 42 de la Ley 2080 de 2021.  </w:t>
      </w:r>
    </w:p>
    <w:p w14:paraId="0700FAB2" w14:textId="77777777" w:rsidR="00E3225D" w:rsidRPr="00147934" w:rsidRDefault="00E3225D" w:rsidP="00E3225D">
      <w:pPr>
        <w:spacing w:after="0" w:line="240" w:lineRule="auto"/>
        <w:jc w:val="both"/>
        <w:textAlignment w:val="baseline"/>
        <w:rPr>
          <w:rFonts w:ascii="Segoe UI" w:eastAsia="Times New Roman" w:hAnsi="Segoe UI" w:cs="Segoe UI"/>
          <w:sz w:val="18"/>
          <w:szCs w:val="18"/>
          <w:lang w:eastAsia="es-MX"/>
        </w:rPr>
      </w:pPr>
      <w:r w:rsidRPr="00147934">
        <w:rPr>
          <w:rFonts w:ascii="Helvetica Neue" w:eastAsia="Times New Roman" w:hAnsi="Helvetica Neue" w:cs="Segoe UI"/>
          <w:color w:val="000000"/>
          <w:sz w:val="24"/>
          <w:szCs w:val="24"/>
          <w:lang w:eastAsia="es-MX"/>
        </w:rPr>
        <w:t>  </w:t>
      </w:r>
    </w:p>
    <w:p w14:paraId="4B9E2BB2" w14:textId="77777777" w:rsidR="00E3225D" w:rsidRDefault="00E3225D" w:rsidP="00E3225D">
      <w:pPr>
        <w:spacing w:after="0" w:line="240" w:lineRule="auto"/>
        <w:jc w:val="both"/>
        <w:textAlignment w:val="baseline"/>
        <w:rPr>
          <w:rFonts w:ascii="Times New Roman" w:eastAsia="Times New Roman" w:hAnsi="Times New Roman" w:cs="Times New Roman"/>
          <w:color w:val="000000"/>
          <w:sz w:val="28"/>
          <w:szCs w:val="28"/>
          <w:lang w:eastAsia="es-MX"/>
        </w:rPr>
      </w:pPr>
      <w:r>
        <w:rPr>
          <w:rFonts w:ascii="Times New Roman" w:eastAsia="Times New Roman" w:hAnsi="Times New Roman" w:cs="Times New Roman"/>
          <w:b/>
          <w:bCs/>
          <w:color w:val="000000"/>
          <w:sz w:val="28"/>
          <w:szCs w:val="28"/>
          <w:lang w:eastAsia="es-MX"/>
        </w:rPr>
        <w:lastRenderedPageBreak/>
        <w:t>Séptimo</w:t>
      </w:r>
      <w:r w:rsidRPr="00147934">
        <w:rPr>
          <w:rFonts w:ascii="Times New Roman" w:eastAsia="Times New Roman" w:hAnsi="Times New Roman" w:cs="Times New Roman"/>
          <w:b/>
          <w:bCs/>
          <w:color w:val="000000"/>
          <w:sz w:val="28"/>
          <w:szCs w:val="28"/>
          <w:lang w:eastAsia="es-MX"/>
        </w:rPr>
        <w:t xml:space="preserve">: </w:t>
      </w:r>
      <w:r>
        <w:rPr>
          <w:rFonts w:ascii="Times New Roman" w:eastAsia="Times New Roman" w:hAnsi="Times New Roman" w:cs="Times New Roman"/>
          <w:b/>
          <w:bCs/>
          <w:color w:val="000000"/>
          <w:sz w:val="28"/>
          <w:szCs w:val="28"/>
          <w:lang w:eastAsia="es-MX"/>
        </w:rPr>
        <w:t>Í</w:t>
      </w:r>
      <w:r w:rsidRPr="00147934">
        <w:rPr>
          <w:rFonts w:ascii="Times New Roman" w:eastAsia="Times New Roman" w:hAnsi="Times New Roman" w:cs="Times New Roman"/>
          <w:b/>
          <w:bCs/>
          <w:color w:val="000000"/>
          <w:sz w:val="28"/>
          <w:szCs w:val="28"/>
          <w:lang w:eastAsia="es-MX"/>
        </w:rPr>
        <w:t>nstese</w:t>
      </w:r>
      <w:r w:rsidRPr="00147934">
        <w:rPr>
          <w:rFonts w:ascii="Times New Roman" w:eastAsia="Times New Roman" w:hAnsi="Times New Roman" w:cs="Times New Roman"/>
          <w:color w:val="000000"/>
          <w:sz w:val="28"/>
          <w:szCs w:val="28"/>
          <w:lang w:eastAsia="es-MX"/>
        </w:rPr>
        <w:t> a las partes para que informen al despacho si tienen ánimo conciliatorio, dentro del mismo termino otorgado para alegar de conclusión, según lo expuesto en la parte motiva.  </w:t>
      </w:r>
    </w:p>
    <w:p w14:paraId="0DFF2BE0" w14:textId="77777777" w:rsidR="00E3225D" w:rsidRDefault="00E3225D" w:rsidP="00E3225D">
      <w:pPr>
        <w:spacing w:after="0" w:line="240" w:lineRule="auto"/>
        <w:jc w:val="both"/>
        <w:textAlignment w:val="baseline"/>
        <w:rPr>
          <w:rFonts w:ascii="Times New Roman" w:eastAsia="Times New Roman" w:hAnsi="Times New Roman" w:cs="Times New Roman"/>
          <w:color w:val="000000"/>
          <w:sz w:val="28"/>
          <w:szCs w:val="28"/>
          <w:lang w:eastAsia="es-MX"/>
        </w:rPr>
      </w:pPr>
    </w:p>
    <w:p w14:paraId="1142EC8C" w14:textId="77777777" w:rsidR="00E3225D" w:rsidRPr="00147934" w:rsidRDefault="00E3225D" w:rsidP="00E3225D">
      <w:pPr>
        <w:spacing w:after="0" w:line="240" w:lineRule="auto"/>
        <w:jc w:val="both"/>
        <w:textAlignment w:val="baseline"/>
        <w:rPr>
          <w:rStyle w:val="Ninguno"/>
          <w:rFonts w:ascii="Segoe UI" w:eastAsia="Times New Roman" w:hAnsi="Segoe UI" w:cs="Segoe UI"/>
          <w:sz w:val="18"/>
          <w:szCs w:val="18"/>
          <w:lang w:eastAsia="es-MX"/>
        </w:rPr>
      </w:pPr>
      <w:r>
        <w:rPr>
          <w:rFonts w:ascii="Times New Roman" w:eastAsia="Times New Roman" w:hAnsi="Times New Roman" w:cs="Times New Roman"/>
          <w:b/>
          <w:bCs/>
          <w:color w:val="000000" w:themeColor="text1"/>
          <w:sz w:val="28"/>
          <w:szCs w:val="28"/>
        </w:rPr>
        <w:t>Octavo</w:t>
      </w:r>
      <w:r w:rsidRPr="1EFAC718">
        <w:rPr>
          <w:rFonts w:ascii="Times New Roman" w:eastAsia="Times New Roman" w:hAnsi="Times New Roman" w:cs="Times New Roman"/>
          <w:b/>
          <w:bCs/>
          <w:color w:val="000000" w:themeColor="text1"/>
          <w:sz w:val="28"/>
          <w:szCs w:val="28"/>
        </w:rPr>
        <w:t>: Reconózcase</w:t>
      </w:r>
      <w:r w:rsidRPr="1EFAC718">
        <w:rPr>
          <w:rStyle w:val="Ninguno"/>
          <w:rFonts w:ascii="Times New Roman" w:eastAsia="Times New Roman" w:hAnsi="Times New Roman" w:cs="Times New Roman"/>
          <w:color w:val="000000" w:themeColor="text1"/>
          <w:sz w:val="28"/>
          <w:szCs w:val="28"/>
          <w:lang w:val="es-ES"/>
        </w:rPr>
        <w:t xml:space="preserve"> personería al abogado Luis Alfredo Sanabria Ríos Con T.P. 250.292 del C.S. de la J., para que actúe como apoderado general de la entidad accionada y como apoderad</w:t>
      </w:r>
      <w:r>
        <w:rPr>
          <w:rStyle w:val="Ninguno"/>
          <w:rFonts w:ascii="Times New Roman" w:eastAsia="Times New Roman" w:hAnsi="Times New Roman" w:cs="Times New Roman"/>
          <w:color w:val="000000" w:themeColor="text1"/>
          <w:sz w:val="28"/>
          <w:szCs w:val="28"/>
          <w:lang w:val="es-ES"/>
        </w:rPr>
        <w:t>o</w:t>
      </w:r>
      <w:r w:rsidRPr="1EFAC718">
        <w:rPr>
          <w:rStyle w:val="Ninguno"/>
          <w:rFonts w:ascii="Times New Roman" w:eastAsia="Times New Roman" w:hAnsi="Times New Roman" w:cs="Times New Roman"/>
          <w:color w:val="000000" w:themeColor="text1"/>
          <w:sz w:val="28"/>
          <w:szCs w:val="28"/>
          <w:lang w:val="es-ES"/>
        </w:rPr>
        <w:t xml:space="preserve"> sustitut</w:t>
      </w:r>
      <w:r>
        <w:rPr>
          <w:rStyle w:val="Ninguno"/>
          <w:rFonts w:ascii="Times New Roman" w:eastAsia="Times New Roman" w:hAnsi="Times New Roman" w:cs="Times New Roman"/>
          <w:color w:val="000000" w:themeColor="text1"/>
          <w:sz w:val="28"/>
          <w:szCs w:val="28"/>
          <w:lang w:val="es-ES"/>
        </w:rPr>
        <w:t>o</w:t>
      </w:r>
      <w:r w:rsidRPr="1EFAC718">
        <w:rPr>
          <w:rStyle w:val="Ninguno"/>
          <w:rFonts w:ascii="Times New Roman" w:eastAsia="Times New Roman" w:hAnsi="Times New Roman" w:cs="Times New Roman"/>
          <w:color w:val="000000" w:themeColor="text1"/>
          <w:sz w:val="28"/>
          <w:szCs w:val="28"/>
          <w:lang w:val="es-ES"/>
        </w:rPr>
        <w:t xml:space="preserve"> a</w:t>
      </w:r>
      <w:r>
        <w:rPr>
          <w:rStyle w:val="Ninguno"/>
          <w:rFonts w:ascii="Times New Roman" w:eastAsia="Times New Roman" w:hAnsi="Times New Roman" w:cs="Times New Roman"/>
          <w:color w:val="000000" w:themeColor="text1"/>
          <w:sz w:val="28"/>
          <w:szCs w:val="28"/>
          <w:lang w:val="es-ES"/>
        </w:rPr>
        <w:t>l</w:t>
      </w:r>
      <w:r w:rsidRPr="1EFAC718">
        <w:rPr>
          <w:rStyle w:val="Ninguno"/>
          <w:rFonts w:ascii="Times New Roman" w:eastAsia="Times New Roman" w:hAnsi="Times New Roman" w:cs="Times New Roman"/>
          <w:color w:val="000000" w:themeColor="text1"/>
          <w:sz w:val="28"/>
          <w:szCs w:val="28"/>
          <w:lang w:val="es-ES"/>
        </w:rPr>
        <w:t xml:space="preserve"> abogad</w:t>
      </w:r>
      <w:r>
        <w:rPr>
          <w:rStyle w:val="Ninguno"/>
          <w:rFonts w:ascii="Times New Roman" w:eastAsia="Times New Roman" w:hAnsi="Times New Roman" w:cs="Times New Roman"/>
          <w:color w:val="000000" w:themeColor="text1"/>
          <w:sz w:val="28"/>
          <w:szCs w:val="28"/>
          <w:lang w:val="es-ES"/>
        </w:rPr>
        <w:t>o</w:t>
      </w:r>
      <w:r w:rsidRPr="1EFAC718">
        <w:rPr>
          <w:rStyle w:val="Ninguno"/>
          <w:rFonts w:ascii="Times New Roman" w:eastAsia="Times New Roman" w:hAnsi="Times New Roman" w:cs="Times New Roman"/>
          <w:color w:val="000000" w:themeColor="text1"/>
          <w:sz w:val="28"/>
          <w:szCs w:val="28"/>
          <w:lang w:val="es-ES"/>
        </w:rPr>
        <w:t xml:space="preserve"> </w:t>
      </w:r>
      <w:r>
        <w:rPr>
          <w:rStyle w:val="Ninguno"/>
          <w:rFonts w:ascii="Times New Roman" w:eastAsia="Times New Roman" w:hAnsi="Times New Roman" w:cs="Times New Roman"/>
          <w:color w:val="000000" w:themeColor="text1"/>
          <w:sz w:val="28"/>
          <w:szCs w:val="28"/>
          <w:lang w:val="es-ES"/>
        </w:rPr>
        <w:t>Cristian Andrés Pineda Pamplona</w:t>
      </w:r>
      <w:r w:rsidRPr="1EFAC718">
        <w:rPr>
          <w:rStyle w:val="Ninguno"/>
          <w:rFonts w:ascii="Times New Roman" w:eastAsia="Times New Roman" w:hAnsi="Times New Roman" w:cs="Times New Roman"/>
          <w:color w:val="000000" w:themeColor="text1"/>
          <w:sz w:val="28"/>
          <w:szCs w:val="28"/>
          <w:lang w:val="es-ES"/>
        </w:rPr>
        <w:t xml:space="preserve"> con T.P. </w:t>
      </w:r>
      <w:r>
        <w:rPr>
          <w:rStyle w:val="Ninguno"/>
          <w:rFonts w:ascii="Times New Roman" w:eastAsia="Times New Roman" w:hAnsi="Times New Roman" w:cs="Times New Roman"/>
          <w:color w:val="000000" w:themeColor="text1"/>
          <w:sz w:val="28"/>
          <w:szCs w:val="28"/>
          <w:lang w:val="es-ES"/>
        </w:rPr>
        <w:t>326.402</w:t>
      </w:r>
      <w:r w:rsidRPr="1EFAC718">
        <w:rPr>
          <w:rStyle w:val="Ninguno"/>
          <w:rFonts w:ascii="Times New Roman" w:eastAsia="Times New Roman" w:hAnsi="Times New Roman" w:cs="Times New Roman"/>
          <w:color w:val="000000" w:themeColor="text1"/>
          <w:sz w:val="28"/>
          <w:szCs w:val="28"/>
          <w:lang w:val="es-ES"/>
        </w:rPr>
        <w:t xml:space="preserve"> del C.S de la J., en los términos de los poderes conferidos.</w:t>
      </w:r>
    </w:p>
    <w:p w14:paraId="6BB8AE6F" w14:textId="77777777" w:rsidR="00E3225D" w:rsidRPr="00E3225D" w:rsidRDefault="00E3225D" w:rsidP="00ED4ECD">
      <w:pPr>
        <w:rPr>
          <w:rFonts w:ascii="Arial" w:hAnsi="Arial" w:cs="Arial"/>
          <w:lang w:val="es-ES_tradn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10"/>
      <w:footerReference w:type="first" r:id="rId11"/>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70317" w14:textId="77777777" w:rsidR="001E1228" w:rsidRDefault="001E1228">
      <w:pPr>
        <w:spacing w:after="0" w:line="240" w:lineRule="auto"/>
      </w:pPr>
      <w:r>
        <w:separator/>
      </w:r>
    </w:p>
  </w:endnote>
  <w:endnote w:type="continuationSeparator" w:id="0">
    <w:p w14:paraId="3B55CAAA" w14:textId="77777777" w:rsidR="001E1228" w:rsidRDefault="001E1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font>
  <w:font w:name="DengXian">
    <w:altName w:val="等线"/>
    <w:panose1 w:val="02010600030101010101"/>
    <w:charset w:val="80"/>
    <w:family w:val="roman"/>
    <w:notTrueType/>
    <w:pitch w:val="default"/>
  </w:font>
  <w:font w:name="Helvetica Neue">
    <w:altName w:val="﷽﷽﷽﷽﷽﷽﷽﷽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DengXian Light">
    <w:altName w:val="等线 Light"/>
    <w:panose1 w:val="02010600030101010101"/>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5775463F" w:rsidR="00224C42" w:rsidRDefault="00F57547">
        <w:pPr>
          <w:pStyle w:val="Piedepgina"/>
          <w:jc w:val="right"/>
        </w:pPr>
        <w:r>
          <w:fldChar w:fldCharType="begin"/>
        </w:r>
        <w:r>
          <w:instrText>PAGE   \* MERGEFORMAT</w:instrText>
        </w:r>
        <w:r>
          <w:fldChar w:fldCharType="separate"/>
        </w:r>
        <w:r w:rsidR="00543277" w:rsidRPr="00543277">
          <w:rPr>
            <w:noProof/>
            <w:lang w:val="es-ES"/>
          </w:rPr>
          <w:t>4</w:t>
        </w:r>
        <w:r>
          <w:fldChar w:fldCharType="end"/>
        </w:r>
      </w:p>
    </w:sdtContent>
  </w:sdt>
  <w:p w14:paraId="2521E8EB" w14:textId="77777777" w:rsidR="00224C42" w:rsidRDefault="001E122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F76DC8F" w:rsidR="00224C42" w:rsidRDefault="00F57547">
        <w:pPr>
          <w:pStyle w:val="Piedepgina"/>
          <w:jc w:val="right"/>
        </w:pPr>
        <w:r>
          <w:fldChar w:fldCharType="begin"/>
        </w:r>
        <w:r>
          <w:instrText>PAGE   \* MERGEFORMAT</w:instrText>
        </w:r>
        <w:r>
          <w:fldChar w:fldCharType="separate"/>
        </w:r>
        <w:r w:rsidR="00543277" w:rsidRPr="00543277">
          <w:rPr>
            <w:noProof/>
            <w:lang w:val="es-ES"/>
          </w:rPr>
          <w:t>1</w:t>
        </w:r>
        <w:r>
          <w:fldChar w:fldCharType="end"/>
        </w:r>
      </w:p>
    </w:sdtContent>
  </w:sdt>
  <w:p w14:paraId="60134C65" w14:textId="77777777" w:rsidR="00224C42" w:rsidRDefault="001E122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0C935" w14:textId="77777777" w:rsidR="001E1228" w:rsidRDefault="001E1228">
      <w:pPr>
        <w:spacing w:after="0" w:line="240" w:lineRule="auto"/>
      </w:pPr>
      <w:r>
        <w:separator/>
      </w:r>
    </w:p>
  </w:footnote>
  <w:footnote w:type="continuationSeparator" w:id="0">
    <w:p w14:paraId="42BB3EBB" w14:textId="77777777" w:rsidR="001E1228" w:rsidRDefault="001E1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E1228"/>
    <w:rsid w:val="001F2D25"/>
    <w:rsid w:val="001F4811"/>
    <w:rsid w:val="00222B39"/>
    <w:rsid w:val="00222D4A"/>
    <w:rsid w:val="0023682D"/>
    <w:rsid w:val="00245C3E"/>
    <w:rsid w:val="00273AEF"/>
    <w:rsid w:val="002971BC"/>
    <w:rsid w:val="002E0562"/>
    <w:rsid w:val="002E526E"/>
    <w:rsid w:val="002F6A16"/>
    <w:rsid w:val="002F7D1D"/>
    <w:rsid w:val="00306339"/>
    <w:rsid w:val="00341FFF"/>
    <w:rsid w:val="003A0FA3"/>
    <w:rsid w:val="003B379B"/>
    <w:rsid w:val="00407892"/>
    <w:rsid w:val="004430DA"/>
    <w:rsid w:val="00462075"/>
    <w:rsid w:val="00467478"/>
    <w:rsid w:val="004C270A"/>
    <w:rsid w:val="00532C33"/>
    <w:rsid w:val="00535E96"/>
    <w:rsid w:val="00543277"/>
    <w:rsid w:val="00565605"/>
    <w:rsid w:val="00591BD3"/>
    <w:rsid w:val="005B3ECD"/>
    <w:rsid w:val="005C690E"/>
    <w:rsid w:val="005D343D"/>
    <w:rsid w:val="0063405A"/>
    <w:rsid w:val="006E320B"/>
    <w:rsid w:val="00764314"/>
    <w:rsid w:val="00772BB4"/>
    <w:rsid w:val="007D59E3"/>
    <w:rsid w:val="00823B31"/>
    <w:rsid w:val="00857522"/>
    <w:rsid w:val="00926ADA"/>
    <w:rsid w:val="00965363"/>
    <w:rsid w:val="0096597C"/>
    <w:rsid w:val="009E3199"/>
    <w:rsid w:val="00A42919"/>
    <w:rsid w:val="00A461DF"/>
    <w:rsid w:val="00A54FBC"/>
    <w:rsid w:val="00A62E46"/>
    <w:rsid w:val="00B47DA4"/>
    <w:rsid w:val="00B713D2"/>
    <w:rsid w:val="00BA7994"/>
    <w:rsid w:val="00C43096"/>
    <w:rsid w:val="00C53F95"/>
    <w:rsid w:val="00C5649B"/>
    <w:rsid w:val="00CC64F1"/>
    <w:rsid w:val="00CF03D9"/>
    <w:rsid w:val="00D111DA"/>
    <w:rsid w:val="00D747D0"/>
    <w:rsid w:val="00D75A67"/>
    <w:rsid w:val="00DB38E3"/>
    <w:rsid w:val="00DC796E"/>
    <w:rsid w:val="00DE6DCB"/>
    <w:rsid w:val="00E031FD"/>
    <w:rsid w:val="00E03626"/>
    <w:rsid w:val="00E3225D"/>
    <w:rsid w:val="00E377AA"/>
    <w:rsid w:val="00E42B7C"/>
    <w:rsid w:val="00E61BDD"/>
    <w:rsid w:val="00E70D4A"/>
    <w:rsid w:val="00E93701"/>
    <w:rsid w:val="00EB3514"/>
    <w:rsid w:val="00ED4ECD"/>
    <w:rsid w:val="00EE219B"/>
    <w:rsid w:val="00F06DA8"/>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649604"/>
  <w15:docId w15:val="{39E56F51-4B79-4B68-A75D-62A86530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table" w:customStyle="1" w:styleId="Tablaconcuadrcula11">
    <w:name w:val="Tabla con cuadrícula11"/>
    <w:basedOn w:val="Tablanormal"/>
    <w:next w:val="Tablaconcuadrcula"/>
    <w:uiPriority w:val="39"/>
    <w:rsid w:val="00E3225D"/>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E3225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MX"/>
      <w14:textOutline w14:w="0" w14:cap="flat" w14:cmpd="sng" w14:algn="ctr">
        <w14:noFill/>
        <w14:prstDash w14:val="solid"/>
        <w14:bevel/>
      </w14:textOutline>
    </w:rPr>
  </w:style>
  <w:style w:type="character" w:customStyle="1" w:styleId="Ninguno">
    <w:name w:val="Ninguno"/>
    <w:rsid w:val="00E3225D"/>
    <w:rPr>
      <w:lang w:val="es-ES_tradnl"/>
    </w:rPr>
  </w:style>
  <w:style w:type="paragraph" w:customStyle="1" w:styleId="Predeterminado">
    <w:name w:val="Predeterminado"/>
    <w:rsid w:val="00E3225D"/>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val="es-ES_tradnl" w:eastAsia="es-MX"/>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2adarau@cendoj.ramajudicial.gov.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56EFC-77A6-4CE5-8D41-7399CD2A9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1855</Words>
  <Characters>10206</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Oficial Mayor 01 Juzgado 02 Administrativo Oral Circuito - Arauca - Arauca</cp:lastModifiedBy>
  <cp:revision>3</cp:revision>
  <dcterms:created xsi:type="dcterms:W3CDTF">2021-09-04T04:21:00Z</dcterms:created>
  <dcterms:modified xsi:type="dcterms:W3CDTF">2021-09-04T04:22:00Z</dcterms:modified>
</cp:coreProperties>
</file>