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0153FA15"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0E5D86">
        <w:rPr>
          <w:rFonts w:ascii="Arial" w:eastAsia="Calibri" w:hAnsi="Arial" w:cs="Arial"/>
          <w:lang w:val="es-MX"/>
        </w:rPr>
        <w:t xml:space="preserve"> MONICA IVON ESCALANTE RUEDA</w:t>
      </w:r>
    </w:p>
    <w:p w14:paraId="5F7DBDD4" w14:textId="0DADA830"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0E5D86">
        <w:rPr>
          <w:rFonts w:ascii="Arial" w:hAnsi="Arial" w:cs="Arial"/>
          <w:lang w:val="es-MX"/>
        </w:rPr>
        <w:t>29/08/2021</w:t>
      </w:r>
    </w:p>
    <w:p w14:paraId="75E84AC6" w14:textId="6E879774"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532DA0">
        <w:rPr>
          <w:sz w:val="23"/>
          <w:szCs w:val="23"/>
        </w:rPr>
        <w:t>NULIDAD Y RESTABLECIMIENTO DEL DERECHO</w:t>
      </w:r>
    </w:p>
    <w:p w14:paraId="6B89892F" w14:textId="3BDEDBE3"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532DA0">
        <w:rPr>
          <w:rFonts w:ascii="Arial" w:hAnsi="Arial" w:cs="Arial"/>
          <w:lang w:val="es-MX"/>
        </w:rPr>
        <w:t xml:space="preserve"> </w:t>
      </w:r>
      <w:r w:rsidR="00665D50" w:rsidRPr="00665D50">
        <w:rPr>
          <w:sz w:val="23"/>
          <w:szCs w:val="23"/>
        </w:rPr>
        <w:t>EPM TELECOMUNICACIONES</w:t>
      </w:r>
    </w:p>
    <w:p w14:paraId="1660C8A3" w14:textId="5474F5AA"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532DA0">
        <w:rPr>
          <w:rFonts w:ascii="Arial" w:hAnsi="Arial" w:cs="Arial"/>
          <w:lang w:val="es-MX"/>
        </w:rPr>
        <w:t xml:space="preserve"> </w:t>
      </w:r>
      <w:r w:rsidR="00B54827">
        <w:rPr>
          <w:sz w:val="23"/>
          <w:szCs w:val="23"/>
        </w:rPr>
        <w:t>SUPERINTENDENCIA DE INDUSTRIA Y COMERCIO</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 xml:space="preserve">no se advierta el incumplimiento de requisitos de </w:t>
            </w:r>
            <w:proofErr w:type="spellStart"/>
            <w:r w:rsidR="00EB3514" w:rsidRPr="001F2D25">
              <w:rPr>
                <w:rFonts w:ascii="Arial" w:eastAsia="Calibri" w:hAnsi="Arial" w:cs="Arial"/>
                <w:lang w:val="es-MX"/>
              </w:rPr>
              <w:t>procedibilidad</w:t>
            </w:r>
            <w:proofErr w:type="spellEnd"/>
            <w:r w:rsidR="00EB3514" w:rsidRPr="001F2D25">
              <w:rPr>
                <w:rFonts w:ascii="Arial" w:eastAsia="Calibri" w:hAnsi="Arial" w:cs="Arial"/>
                <w:lang w:val="es-MX"/>
              </w:rPr>
              <w:t>.</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1953C134">
                      <wp:simplePos x="0" y="0"/>
                      <wp:positionH relativeFrom="column">
                        <wp:posOffset>3484880</wp:posOffset>
                      </wp:positionH>
                      <wp:positionV relativeFrom="paragraph">
                        <wp:posOffset>150495</wp:posOffset>
                      </wp:positionV>
                      <wp:extent cx="495300" cy="228600"/>
                      <wp:effectExtent l="0" t="0" r="19050" b="19050"/>
                      <wp:wrapNone/>
                      <wp:docPr id="5" name="Rectángulo 5"/>
                      <wp:cNvGraphicFramePr/>
                      <a:graphic xmlns:a="http://schemas.openxmlformats.org/drawingml/2006/main">
                        <a:graphicData uri="http://schemas.microsoft.com/office/word/2010/wordprocessingShape">
                          <wps:wsp>
                            <wps:cNvSpPr/>
                            <wps:spPr>
                              <a:xfrm>
                                <a:off x="0" y="0"/>
                                <a:ext cx="495300" cy="2286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DCB3F9A" w14:textId="46FCE68D" w:rsidR="00532DA0" w:rsidRDefault="00B54827" w:rsidP="00532DA0">
                                  <w:pPr>
                                    <w:jc w:val="center"/>
                                  </w:pPr>
                                  <w: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4pt;margin-top:11.85pt;width:39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" fillcolor="white [3201]" strokecolor="#70ad47 [3209]" strokeweight="1pt">
                      <v:textbox>
                        <w:txbxContent>
                          <w:p w14:paraId="1DCB3F9A" w14:textId="46FCE68D" w:rsidR="00532DA0" w:rsidRDefault="00B54827" w:rsidP="00532DA0">
                            <w:pPr>
                              <w:jc w:val="center"/>
                            </w:pPr>
                            <w:r>
                              <w:t>SI</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5D5A8B2D">
                      <wp:simplePos x="0" y="0"/>
                      <wp:positionH relativeFrom="column">
                        <wp:posOffset>3122930</wp:posOffset>
                      </wp:positionH>
                      <wp:positionV relativeFrom="paragraph">
                        <wp:posOffset>86360</wp:posOffset>
                      </wp:positionV>
                      <wp:extent cx="600075" cy="257175"/>
                      <wp:effectExtent l="0" t="0" r="28575" b="28575"/>
                      <wp:wrapNone/>
                      <wp:docPr id="6" name="Rectángulo 6"/>
                      <wp:cNvGraphicFramePr/>
                      <a:graphic xmlns:a="http://schemas.openxmlformats.org/drawingml/2006/main">
                        <a:graphicData uri="http://schemas.microsoft.com/office/word/2010/wordprocessingShape">
                          <wps:wsp>
                            <wps:cNvSpPr/>
                            <wps:spPr>
                              <a:xfrm>
                                <a:off x="0" y="0"/>
                                <a:ext cx="600075" cy="2571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959EC" id="Rectángulo 6" o:spid="_x0000_s1026" style="position:absolute;margin-left:245.9pt;margin-top:6.8pt;width:47.25pt;height:20.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" fillcolor="white [3201]" strokecolor="#70ad47 [3209]" strokeweight="1pt"/>
                  </w:pict>
                </mc:Fallback>
              </mc:AlternateContent>
            </w:r>
          </w:p>
          <w:p w14:paraId="0884ED88" w14:textId="39D8535E"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w:t>
            </w:r>
            <w:r w:rsidR="00532DA0">
              <w:rPr>
                <w:rFonts w:ascii="Arial" w:hAnsi="Arial" w:cs="Arial"/>
                <w:i/>
              </w:rPr>
              <w:t xml:space="preserve">                 </w:t>
            </w:r>
            <w:r w:rsidRPr="001F2D25">
              <w:rPr>
                <w:rFonts w:ascii="Arial" w:hAnsi="Arial" w:cs="Arial"/>
                <w:i/>
              </w:rPr>
              <w:t>;</w:t>
            </w:r>
            <w:r w:rsidR="00532DA0">
              <w:rPr>
                <w:rFonts w:ascii="Arial" w:hAnsi="Arial" w:cs="Arial"/>
                <w:i/>
              </w:rPr>
              <w:t xml:space="preserve"> NO</w:t>
            </w:r>
            <w:r w:rsidRPr="001F2D25">
              <w:rPr>
                <w:rFonts w:ascii="Arial" w:hAnsi="Arial" w:cs="Arial"/>
                <w:i/>
              </w:rPr>
              <w:t xml:space="preserve"> </w:t>
            </w:r>
          </w:p>
          <w:p w14:paraId="6E992916" w14:textId="77777777" w:rsidR="00306339" w:rsidRDefault="00306339" w:rsidP="00341FFF">
            <w:pPr>
              <w:pStyle w:val="Sinespaciado"/>
              <w:ind w:left="708"/>
              <w:jc w:val="both"/>
              <w:rPr>
                <w:rFonts w:ascii="Arial" w:hAnsi="Arial" w:cs="Arial"/>
                <w:b/>
                <w:bCs/>
                <w:i/>
              </w:rPr>
            </w:pPr>
          </w:p>
          <w:p w14:paraId="04CA110E" w14:textId="61D58A1B"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5F77932A">
                      <wp:simplePos x="0" y="0"/>
                      <wp:positionH relativeFrom="column">
                        <wp:posOffset>1608455</wp:posOffset>
                      </wp:positionH>
                      <wp:positionV relativeFrom="paragraph">
                        <wp:posOffset>318770</wp:posOffset>
                      </wp:positionV>
                      <wp:extent cx="590550" cy="257175"/>
                      <wp:effectExtent l="0" t="0" r="19050" b="28575"/>
                      <wp:wrapNone/>
                      <wp:docPr id="15" name="Rectángulo 15"/>
                      <wp:cNvGraphicFramePr/>
                      <a:graphic xmlns:a="http://schemas.openxmlformats.org/drawingml/2006/main">
                        <a:graphicData uri="http://schemas.microsoft.com/office/word/2010/wordprocessingShape">
                          <wps:wsp>
                            <wps:cNvSpPr/>
                            <wps:spPr>
                              <a:xfrm>
                                <a:off x="0" y="0"/>
                                <a:ext cx="590550" cy="25717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AAE39A" id="Rectángulo 15" o:spid="_x0000_s1026" style="position:absolute;margin-left:126.65pt;margin-top:25.1pt;width:46.5pt;height:20.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w:t>
            </w:r>
            <w:r w:rsidR="00532DA0">
              <w:rPr>
                <w:rFonts w:ascii="Arial" w:hAnsi="Arial" w:cs="Arial"/>
                <w:i/>
              </w:rPr>
              <w:t xml:space="preserve">                </w:t>
            </w:r>
            <w:r w:rsidRPr="001F2D25">
              <w:rPr>
                <w:rFonts w:ascii="Arial" w:hAnsi="Arial" w:cs="Arial"/>
                <w:i/>
              </w:rPr>
              <w:t xml:space="preserve">  </w:t>
            </w:r>
            <w:r w:rsidR="00532DA0">
              <w:rPr>
                <w:rFonts w:ascii="Arial" w:hAnsi="Arial" w:cs="Arial"/>
                <w:i/>
              </w:rPr>
              <w:t>NO</w:t>
            </w:r>
          </w:p>
          <w:p w14:paraId="56FCF477" w14:textId="77777777" w:rsidR="00306339" w:rsidRDefault="00306339" w:rsidP="00341FFF">
            <w:pPr>
              <w:pStyle w:val="Sinespaciado"/>
              <w:ind w:left="720"/>
              <w:rPr>
                <w:rFonts w:ascii="Arial" w:hAnsi="Arial" w:cs="Arial"/>
                <w:b/>
                <w:bCs/>
                <w:i/>
              </w:rPr>
            </w:pPr>
          </w:p>
          <w:p w14:paraId="413B63C7" w14:textId="4F209C43"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r w:rsidR="00532DA0">
              <w:rPr>
                <w:rFonts w:ascii="Arial" w:hAnsi="Arial" w:cs="Arial"/>
                <w:i/>
              </w:rPr>
              <w:t xml:space="preserve">           NO</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xml:space="preserve">: Sandra </w:t>
            </w:r>
            <w:proofErr w:type="spellStart"/>
            <w:r w:rsidRPr="001F2D25">
              <w:rPr>
                <w:rFonts w:ascii="Arial" w:eastAsia="Calibri" w:hAnsi="Arial" w:cs="Arial"/>
                <w:i/>
                <w:sz w:val="18"/>
                <w:szCs w:val="18"/>
                <w:lang w:val="es-MX"/>
              </w:rPr>
              <w:t>Lisset</w:t>
            </w:r>
            <w:proofErr w:type="spellEnd"/>
            <w:r w:rsidRPr="001F2D25">
              <w:rPr>
                <w:rFonts w:ascii="Arial" w:eastAsia="Calibri" w:hAnsi="Arial" w:cs="Arial"/>
                <w:i/>
                <w:sz w:val="18"/>
                <w:szCs w:val="18"/>
                <w:lang w:val="es-MX"/>
              </w:rPr>
              <w:t xml:space="preserve"> Ibarra Vélez. </w:t>
            </w:r>
            <w:proofErr w:type="gramStart"/>
            <w:r w:rsidRPr="001F2D25">
              <w:rPr>
                <w:rFonts w:ascii="Arial" w:eastAsia="Calibri" w:hAnsi="Arial" w:cs="Arial"/>
                <w:i/>
                <w:sz w:val="18"/>
                <w:szCs w:val="18"/>
                <w:lang w:val="es-MX"/>
              </w:rPr>
              <w:t>veintiuno</w:t>
            </w:r>
            <w:proofErr w:type="gramEnd"/>
            <w:r w:rsidRPr="001F2D25">
              <w:rPr>
                <w:rFonts w:ascii="Arial" w:eastAsia="Calibri" w:hAnsi="Arial" w:cs="Arial"/>
                <w:i/>
                <w:sz w:val="18"/>
                <w:szCs w:val="18"/>
                <w:lang w:val="es-MX"/>
              </w:rPr>
              <w:t xml:space="preserve">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83F2A50"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w:t>
            </w:r>
            <w:r w:rsidR="0079141B">
              <w:rPr>
                <w:rFonts w:ascii="Arial" w:hAnsi="Arial" w:cs="Arial"/>
                <w:iCs/>
              </w:rPr>
              <w:t xml:space="preserve">lizarse conjuntamente con estos: No intervienen </w:t>
            </w:r>
            <w:r w:rsidR="0079141B" w:rsidRPr="001F2D25">
              <w:rPr>
                <w:rFonts w:ascii="Arial" w:hAnsi="Arial" w:cs="Arial"/>
                <w:iCs/>
              </w:rPr>
              <w:t>litisconsortes necesarios</w:t>
            </w:r>
            <w:r w:rsidR="0079141B">
              <w:rPr>
                <w:rFonts w:ascii="Arial" w:hAnsi="Arial" w:cs="Arial"/>
                <w:iCs/>
              </w:rPr>
              <w:t>.</w:t>
            </w:r>
          </w:p>
          <w:p w14:paraId="19C48583" w14:textId="77777777" w:rsidR="00DE6DCB" w:rsidRPr="001F2D25" w:rsidRDefault="00DE6DCB" w:rsidP="00DE6DCB">
            <w:pPr>
              <w:pStyle w:val="Sinespaciado"/>
              <w:ind w:left="720"/>
              <w:jc w:val="both"/>
              <w:rPr>
                <w:rFonts w:ascii="Arial" w:hAnsi="Arial" w:cs="Arial"/>
                <w:iCs/>
              </w:rPr>
            </w:pPr>
          </w:p>
          <w:p w14:paraId="2342A1B9" w14:textId="4D2E14E6"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w:t>
            </w:r>
            <w:r w:rsidR="0079141B">
              <w:rPr>
                <w:rFonts w:ascii="Arial" w:hAnsi="Arial" w:cs="Arial"/>
                <w:iCs/>
              </w:rPr>
              <w:t>ferirá sentencia oral o escrita: No es en audiencia.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Default="00ED4ECD" w:rsidP="00ED4ECD">
      <w:pPr>
        <w:rPr>
          <w:rFonts w:ascii="Arial" w:hAnsi="Arial" w:cs="Arial"/>
        </w:rPr>
      </w:pPr>
    </w:p>
    <w:p w14:paraId="53660E62" w14:textId="77777777" w:rsidR="00687A88" w:rsidRDefault="00687A88" w:rsidP="00ED4ECD">
      <w:pPr>
        <w:rPr>
          <w:rFonts w:ascii="Arial" w:hAnsi="Arial" w:cs="Arial"/>
        </w:rPr>
      </w:pPr>
    </w:p>
    <w:p w14:paraId="0D4299C0" w14:textId="77777777" w:rsidR="00687A88" w:rsidRDefault="00687A88" w:rsidP="00ED4ECD">
      <w:pPr>
        <w:rPr>
          <w:rFonts w:ascii="Arial" w:hAnsi="Arial" w:cs="Arial"/>
        </w:rPr>
      </w:pPr>
    </w:p>
    <w:p w14:paraId="4F110D8D" w14:textId="77777777" w:rsidR="00687A88" w:rsidRPr="001F2D25" w:rsidRDefault="00687A88"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0EF797DA" w:rsidR="002F7D1D" w:rsidRPr="00687A88" w:rsidRDefault="00687A88" w:rsidP="00687A88">
      <w:pPr>
        <w:jc w:val="center"/>
        <w:rPr>
          <w:rFonts w:ascii="Arial" w:hAnsi="Arial" w:cs="Arial"/>
          <w:b/>
        </w:rPr>
      </w:pPr>
      <w:r w:rsidRPr="00687A88">
        <w:rPr>
          <w:rFonts w:ascii="Arial" w:hAnsi="Arial" w:cs="Arial"/>
          <w:b/>
        </w:rPr>
        <w:lastRenderedPageBreak/>
        <w:t>TRIBUNAL ADMINISTRATIVO DE CUNDINAMARCA</w:t>
      </w:r>
    </w:p>
    <w:p w14:paraId="1C228CAE" w14:textId="77777777" w:rsidR="00687A88" w:rsidRDefault="00687A88">
      <w:pPr>
        <w:rPr>
          <w:rFonts w:ascii="Arial" w:hAnsi="Arial" w:cs="Arial"/>
        </w:rPr>
      </w:pPr>
    </w:p>
    <w:p w14:paraId="465C48C4" w14:textId="77777777" w:rsidR="00687A88" w:rsidRPr="001F2D25" w:rsidRDefault="00687A88" w:rsidP="00687A88">
      <w:pPr>
        <w:pStyle w:val="Sinespaciado"/>
        <w:ind w:left="851"/>
        <w:rPr>
          <w:rFonts w:ascii="Arial" w:hAnsi="Arial" w:cs="Arial"/>
          <w:lang w:val="es-MX"/>
        </w:rPr>
      </w:pPr>
      <w:r w:rsidRPr="001F2D25">
        <w:rPr>
          <w:rFonts w:ascii="Arial" w:hAnsi="Arial" w:cs="Arial"/>
          <w:lang w:val="es-MX"/>
        </w:rPr>
        <w:t xml:space="preserve">Medio de control: </w:t>
      </w:r>
      <w:r>
        <w:rPr>
          <w:sz w:val="23"/>
          <w:szCs w:val="23"/>
        </w:rPr>
        <w:t>NULIDAD Y RESTABLECIMIENTO DEL DERECHO</w:t>
      </w:r>
    </w:p>
    <w:p w14:paraId="534FCD7F" w14:textId="61897D81" w:rsidR="00687A88" w:rsidRDefault="00687A88" w:rsidP="00687A88">
      <w:pPr>
        <w:pStyle w:val="Sinespaciado"/>
        <w:ind w:left="851"/>
        <w:rPr>
          <w:sz w:val="23"/>
          <w:szCs w:val="23"/>
        </w:rPr>
      </w:pPr>
      <w:r w:rsidRPr="001F2D25">
        <w:rPr>
          <w:rFonts w:ascii="Arial" w:hAnsi="Arial" w:cs="Arial"/>
          <w:lang w:val="es-MX"/>
        </w:rPr>
        <w:t>Demandante:</w:t>
      </w:r>
      <w:r>
        <w:rPr>
          <w:rFonts w:ascii="Arial" w:hAnsi="Arial" w:cs="Arial"/>
          <w:lang w:val="es-MX"/>
        </w:rPr>
        <w:t xml:space="preserve"> </w:t>
      </w:r>
      <w:r w:rsidR="000C465A">
        <w:rPr>
          <w:rFonts w:ascii="Arial" w:hAnsi="Arial" w:cs="Arial"/>
        </w:rPr>
        <w:t>EPM TELECOMUNICACIONES</w:t>
      </w:r>
      <w:r w:rsidR="000C465A" w:rsidRPr="001F2D25">
        <w:rPr>
          <w:rFonts w:ascii="Arial" w:hAnsi="Arial" w:cs="Arial"/>
          <w:lang w:val="es-MX"/>
        </w:rPr>
        <w:t xml:space="preserve"> </w:t>
      </w:r>
      <w:r w:rsidRPr="001F2D25">
        <w:rPr>
          <w:rFonts w:ascii="Arial" w:hAnsi="Arial" w:cs="Arial"/>
          <w:lang w:val="es-MX"/>
        </w:rPr>
        <w:t>Demandado:</w:t>
      </w:r>
      <w:r>
        <w:rPr>
          <w:rFonts w:ascii="Arial" w:hAnsi="Arial" w:cs="Arial"/>
          <w:lang w:val="es-MX"/>
        </w:rPr>
        <w:t xml:space="preserve"> </w:t>
      </w:r>
      <w:r>
        <w:rPr>
          <w:sz w:val="23"/>
          <w:szCs w:val="23"/>
        </w:rPr>
        <w:t>SUPERINTENDENCIA DE INDUSTRIA Y COMERCIO</w:t>
      </w:r>
    </w:p>
    <w:p w14:paraId="72A0B539" w14:textId="0737D5AF" w:rsidR="000C465A" w:rsidRPr="001F2D25" w:rsidRDefault="000C465A" w:rsidP="00687A88">
      <w:pPr>
        <w:pStyle w:val="Sinespaciado"/>
        <w:ind w:left="851"/>
        <w:rPr>
          <w:rFonts w:ascii="Arial" w:hAnsi="Arial" w:cs="Arial"/>
          <w:lang w:val="es-MX"/>
        </w:rPr>
      </w:pPr>
      <w:r>
        <w:rPr>
          <w:sz w:val="23"/>
          <w:szCs w:val="23"/>
        </w:rPr>
        <w:t>Rad. 2011-0240</w:t>
      </w:r>
    </w:p>
    <w:p w14:paraId="084F9B03" w14:textId="77777777" w:rsidR="00687A88" w:rsidRDefault="00687A88" w:rsidP="00687A88">
      <w:pPr>
        <w:ind w:left="851"/>
        <w:rPr>
          <w:rFonts w:ascii="Arial" w:hAnsi="Arial" w:cs="Arial"/>
        </w:rPr>
      </w:pPr>
    </w:p>
    <w:p w14:paraId="70FA74F7" w14:textId="77777777" w:rsidR="00687A88" w:rsidRDefault="00687A88">
      <w:pPr>
        <w:rPr>
          <w:rFonts w:ascii="Arial" w:hAnsi="Arial" w:cs="Arial"/>
        </w:rPr>
      </w:pPr>
    </w:p>
    <w:p w14:paraId="7BB491E1" w14:textId="48FC0B70" w:rsidR="00687A88" w:rsidRDefault="00687A88">
      <w:pPr>
        <w:rPr>
          <w:rFonts w:ascii="Arial" w:hAnsi="Arial" w:cs="Arial"/>
          <w:b/>
        </w:rPr>
      </w:pPr>
      <w:r w:rsidRPr="00687A88">
        <w:rPr>
          <w:rFonts w:ascii="Arial" w:hAnsi="Arial" w:cs="Arial"/>
          <w:b/>
        </w:rPr>
        <w:t>ANTECEDENTES</w:t>
      </w:r>
    </w:p>
    <w:p w14:paraId="1D319CEE" w14:textId="599C960C" w:rsidR="00687A88" w:rsidRPr="00687A88" w:rsidRDefault="00687A88" w:rsidP="00687A88">
      <w:pPr>
        <w:jc w:val="both"/>
        <w:rPr>
          <w:rFonts w:ascii="Arial" w:hAnsi="Arial" w:cs="Arial"/>
        </w:rPr>
      </w:pPr>
      <w:r w:rsidRPr="00687A88">
        <w:rPr>
          <w:rFonts w:ascii="Arial" w:hAnsi="Arial" w:cs="Arial"/>
        </w:rPr>
        <w:t>Se demanda la nulidad de las Resoluciones 014 de abril de 2014 y 016 de 2021, mediante la cual se impuso una sanción administrativa, con fundamento en la pérdida de competencia de la entidad pública para imponer la sanción.</w:t>
      </w:r>
    </w:p>
    <w:p w14:paraId="135E1BEC" w14:textId="77777777" w:rsidR="00687A88" w:rsidRDefault="00687A88">
      <w:pPr>
        <w:rPr>
          <w:rFonts w:ascii="Arial" w:hAnsi="Arial" w:cs="Arial"/>
          <w:b/>
        </w:rPr>
      </w:pPr>
    </w:p>
    <w:p w14:paraId="1C61EED3" w14:textId="67353E7F" w:rsidR="00687A88" w:rsidRPr="00687A88" w:rsidRDefault="00687A88">
      <w:pPr>
        <w:rPr>
          <w:rFonts w:ascii="Arial" w:hAnsi="Arial" w:cs="Arial"/>
          <w:b/>
        </w:rPr>
      </w:pPr>
      <w:r>
        <w:rPr>
          <w:rFonts w:ascii="Arial" w:hAnsi="Arial" w:cs="Arial"/>
          <w:b/>
        </w:rPr>
        <w:t>ACTUACIONES PROCESALES</w:t>
      </w:r>
    </w:p>
    <w:p w14:paraId="0AA1B23B" w14:textId="43E09695" w:rsidR="00687A88" w:rsidRDefault="00687A88" w:rsidP="00687A88">
      <w:pPr>
        <w:pStyle w:val="Sinespaciado"/>
        <w:jc w:val="both"/>
        <w:rPr>
          <w:rFonts w:ascii="Arial" w:eastAsia="Calibri" w:hAnsi="Arial" w:cs="Arial"/>
          <w:lang w:val="es-MX"/>
        </w:rPr>
      </w:pPr>
      <w:r>
        <w:rPr>
          <w:rFonts w:ascii="Arial" w:eastAsia="Calibri" w:hAnsi="Arial" w:cs="Arial"/>
          <w:lang w:val="es-MX"/>
        </w:rPr>
        <w:t>Una vez v</w:t>
      </w:r>
      <w:r w:rsidRPr="001F2D25">
        <w:rPr>
          <w:rFonts w:ascii="Arial" w:eastAsia="Calibri" w:hAnsi="Arial" w:cs="Arial"/>
          <w:lang w:val="es-MX"/>
        </w:rPr>
        <w:t>erifi</w:t>
      </w:r>
      <w:r>
        <w:rPr>
          <w:rFonts w:ascii="Arial" w:eastAsia="Calibri" w:hAnsi="Arial" w:cs="Arial"/>
          <w:lang w:val="es-MX"/>
        </w:rPr>
        <w:t xml:space="preserve">cado el expediente se observa </w:t>
      </w:r>
      <w:r w:rsidRPr="001F2D25">
        <w:rPr>
          <w:rFonts w:ascii="Arial" w:eastAsia="Calibri" w:hAnsi="Arial" w:cs="Arial"/>
          <w:lang w:val="es-MX"/>
        </w:rPr>
        <w:t xml:space="preserve"> que el término de traslado de la demanda se encuentra vencido y que no hay excepciones previas que resolver </w:t>
      </w:r>
      <w:r>
        <w:rPr>
          <w:rFonts w:ascii="Arial" w:eastAsia="Calibri" w:hAnsi="Arial" w:cs="Arial"/>
          <w:lang w:val="es-MX"/>
        </w:rPr>
        <w:t>y tampoc</w:t>
      </w:r>
      <w:r w:rsidRPr="001F2D25">
        <w:rPr>
          <w:rFonts w:ascii="Arial" w:eastAsia="Calibri" w:hAnsi="Arial" w:cs="Arial"/>
          <w:lang w:val="es-MX"/>
        </w:rPr>
        <w:t xml:space="preserve">o </w:t>
      </w:r>
      <w:r>
        <w:rPr>
          <w:rFonts w:ascii="Arial" w:eastAsia="Calibri" w:hAnsi="Arial" w:cs="Arial"/>
          <w:lang w:val="es-MX"/>
        </w:rPr>
        <w:t>se advierte</w:t>
      </w:r>
      <w:r w:rsidRPr="001F2D25">
        <w:rPr>
          <w:rFonts w:ascii="Arial" w:eastAsia="Calibri" w:hAnsi="Arial" w:cs="Arial"/>
          <w:lang w:val="es-MX"/>
        </w:rPr>
        <w:t xml:space="preserve"> el incumplimiento de requisitos de </w:t>
      </w:r>
      <w:proofErr w:type="spellStart"/>
      <w:r w:rsidRPr="001F2D25">
        <w:rPr>
          <w:rFonts w:ascii="Arial" w:eastAsia="Calibri" w:hAnsi="Arial" w:cs="Arial"/>
          <w:lang w:val="es-MX"/>
        </w:rPr>
        <w:t>procedibilidad</w:t>
      </w:r>
      <w:proofErr w:type="spellEnd"/>
      <w:r w:rsidRPr="001F2D25">
        <w:rPr>
          <w:rFonts w:ascii="Arial" w:eastAsia="Calibri" w:hAnsi="Arial" w:cs="Arial"/>
          <w:lang w:val="es-MX"/>
        </w:rPr>
        <w:t>.</w:t>
      </w:r>
    </w:p>
    <w:p w14:paraId="72437199" w14:textId="77777777" w:rsidR="007A5650" w:rsidRDefault="007A5650" w:rsidP="00687A88">
      <w:pPr>
        <w:pStyle w:val="Sinespaciado"/>
        <w:jc w:val="both"/>
        <w:rPr>
          <w:rFonts w:ascii="Arial" w:eastAsia="Calibri" w:hAnsi="Arial" w:cs="Arial"/>
          <w:lang w:val="es-MX"/>
        </w:rPr>
      </w:pPr>
    </w:p>
    <w:p w14:paraId="10553B86" w14:textId="4E141CA0" w:rsidR="007A5650" w:rsidRPr="007A5650" w:rsidRDefault="007A5650" w:rsidP="007A5650">
      <w:pPr>
        <w:pStyle w:val="Sinespaciado"/>
        <w:jc w:val="both"/>
        <w:rPr>
          <w:rFonts w:ascii="Arial" w:eastAsia="Calibri" w:hAnsi="Arial" w:cs="Arial"/>
          <w:lang w:val="es-MX"/>
        </w:rPr>
      </w:pPr>
      <w:r>
        <w:rPr>
          <w:rFonts w:ascii="Arial" w:eastAsia="Calibri" w:hAnsi="Arial" w:cs="Arial"/>
          <w:lang w:val="es-MX"/>
        </w:rPr>
        <w:t xml:space="preserve">Se observa que en el presente caso, se trata de un asuntos de puro derecho; </w:t>
      </w:r>
      <w:r w:rsidRPr="007A5650">
        <w:rPr>
          <w:rFonts w:ascii="Arial" w:eastAsia="Calibri" w:hAnsi="Arial" w:cs="Arial"/>
          <w:lang w:val="es-MX"/>
        </w:rPr>
        <w:t xml:space="preserve">no </w:t>
      </w:r>
      <w:r>
        <w:rPr>
          <w:rFonts w:ascii="Arial" w:eastAsia="Calibri" w:hAnsi="Arial" w:cs="Arial"/>
          <w:lang w:val="es-MX"/>
        </w:rPr>
        <w:t>se requiere la practica</w:t>
      </w:r>
      <w:r w:rsidRPr="007A5650">
        <w:rPr>
          <w:rFonts w:ascii="Arial" w:eastAsia="Calibri" w:hAnsi="Arial" w:cs="Arial"/>
          <w:lang w:val="es-MX"/>
        </w:rPr>
        <w:t xml:space="preserve"> </w:t>
      </w:r>
      <w:r>
        <w:rPr>
          <w:rFonts w:ascii="Arial" w:eastAsia="Calibri" w:hAnsi="Arial" w:cs="Arial"/>
          <w:lang w:val="es-MX"/>
        </w:rPr>
        <w:t xml:space="preserve">pruebas, toda vez que </w:t>
      </w:r>
      <w:r w:rsidRPr="007A5650">
        <w:rPr>
          <w:rFonts w:ascii="Arial" w:eastAsia="Calibri" w:hAnsi="Arial" w:cs="Arial"/>
          <w:lang w:val="es-MX"/>
        </w:rPr>
        <w:t>solo se solicit</w:t>
      </w:r>
      <w:r>
        <w:rPr>
          <w:rFonts w:ascii="Arial" w:eastAsia="Calibri" w:hAnsi="Arial" w:cs="Arial"/>
          <w:lang w:val="es-MX"/>
        </w:rPr>
        <w:t>ó</w:t>
      </w:r>
      <w:r w:rsidRPr="007A5650">
        <w:rPr>
          <w:rFonts w:ascii="Arial" w:eastAsia="Calibri" w:hAnsi="Arial" w:cs="Arial"/>
          <w:lang w:val="es-MX"/>
        </w:rPr>
        <w:t xml:space="preserve"> tener como pruebas las documentales aportadas con la demanda y la contestación, y sobre ellas no se hubiese formulado tacha o desc</w:t>
      </w:r>
      <w:r>
        <w:rPr>
          <w:rFonts w:ascii="Arial" w:eastAsia="Calibri" w:hAnsi="Arial" w:cs="Arial"/>
          <w:lang w:val="es-MX"/>
        </w:rPr>
        <w:t xml:space="preserve">onocimiento.                </w:t>
      </w:r>
    </w:p>
    <w:p w14:paraId="30D948EA" w14:textId="77777777" w:rsidR="007A5650" w:rsidRPr="007A5650" w:rsidRDefault="007A5650" w:rsidP="007A5650">
      <w:pPr>
        <w:pStyle w:val="Sinespaciado"/>
        <w:jc w:val="both"/>
        <w:rPr>
          <w:rFonts w:ascii="Arial" w:eastAsia="Calibri" w:hAnsi="Arial" w:cs="Arial"/>
          <w:lang w:val="es-MX"/>
        </w:rPr>
      </w:pPr>
    </w:p>
    <w:p w14:paraId="2059D078" w14:textId="2D091263" w:rsidR="007A5650" w:rsidRDefault="007A5650" w:rsidP="007A5650">
      <w:pPr>
        <w:pStyle w:val="Sinespaciado"/>
        <w:jc w:val="both"/>
        <w:rPr>
          <w:rFonts w:ascii="Arial" w:eastAsia="Calibri" w:hAnsi="Arial" w:cs="Arial"/>
          <w:lang w:val="es-MX"/>
        </w:rPr>
      </w:pPr>
      <w:r>
        <w:rPr>
          <w:rFonts w:ascii="Arial" w:eastAsia="Calibri" w:hAnsi="Arial" w:cs="Arial"/>
          <w:lang w:val="es-MX"/>
        </w:rPr>
        <w:t xml:space="preserve">Mediante auto 240 del 10 de agosto de 2021, el despacho se </w:t>
      </w:r>
      <w:r w:rsidRPr="001F2D25">
        <w:rPr>
          <w:rFonts w:ascii="Arial" w:eastAsia="Calibri" w:hAnsi="Arial" w:cs="Arial"/>
          <w:lang w:val="es-MX"/>
        </w:rPr>
        <w:t>pronunci</w:t>
      </w:r>
      <w:r>
        <w:rPr>
          <w:rFonts w:ascii="Arial" w:eastAsia="Calibri" w:hAnsi="Arial" w:cs="Arial"/>
          <w:lang w:val="es-MX"/>
        </w:rPr>
        <w:t>ó</w:t>
      </w:r>
      <w:r w:rsidRPr="001F2D25">
        <w:rPr>
          <w:rFonts w:ascii="Arial" w:eastAsia="Calibri" w:hAnsi="Arial" w:cs="Arial"/>
          <w:lang w:val="es-MX"/>
        </w:rPr>
        <w:t xml:space="preserve"> sobre las pruebas </w:t>
      </w:r>
      <w:r>
        <w:rPr>
          <w:rFonts w:ascii="Arial" w:eastAsia="Calibri" w:hAnsi="Arial" w:cs="Arial"/>
          <w:lang w:val="es-MX"/>
        </w:rPr>
        <w:t>documentales aportadas</w:t>
      </w:r>
      <w:r w:rsidRPr="001F2D25">
        <w:rPr>
          <w:rFonts w:ascii="Arial" w:eastAsia="Calibri" w:hAnsi="Arial" w:cs="Arial"/>
          <w:lang w:val="es-MX"/>
        </w:rPr>
        <w:t xml:space="preserve">, aplicando el artículo 173 del CGP. </w:t>
      </w:r>
    </w:p>
    <w:p w14:paraId="3D1C4DDB" w14:textId="77777777" w:rsidR="007A5650" w:rsidRPr="001F2D25" w:rsidRDefault="007A5650" w:rsidP="007A5650">
      <w:pPr>
        <w:pStyle w:val="Sinespaciado"/>
        <w:jc w:val="both"/>
        <w:rPr>
          <w:rFonts w:ascii="Arial" w:eastAsia="Calibri" w:hAnsi="Arial" w:cs="Arial"/>
          <w:lang w:val="es-MX"/>
        </w:rPr>
      </w:pPr>
    </w:p>
    <w:p w14:paraId="309F4E35" w14:textId="3230859C" w:rsidR="007A5650" w:rsidRPr="001F2D25" w:rsidRDefault="007A5650" w:rsidP="007A5650">
      <w:pPr>
        <w:pStyle w:val="Sinespaciado"/>
        <w:jc w:val="both"/>
        <w:rPr>
          <w:rFonts w:ascii="Arial" w:eastAsia="Calibri" w:hAnsi="Arial" w:cs="Arial"/>
          <w:lang w:val="es-MX"/>
        </w:rPr>
      </w:pPr>
      <w:r w:rsidRPr="001F2D25">
        <w:rPr>
          <w:rFonts w:ascii="Arial" w:eastAsia="Calibri" w:hAnsi="Arial" w:cs="Arial"/>
          <w:lang w:val="es-MX"/>
        </w:rPr>
        <w:t xml:space="preserve">En la misma providencia </w:t>
      </w:r>
      <w:r>
        <w:rPr>
          <w:rFonts w:ascii="Arial" w:eastAsia="Calibri" w:hAnsi="Arial" w:cs="Arial"/>
          <w:lang w:val="es-MX"/>
        </w:rPr>
        <w:t xml:space="preserve">se </w:t>
      </w:r>
      <w:r w:rsidRPr="001F2D25">
        <w:rPr>
          <w:rFonts w:ascii="Arial" w:eastAsia="Calibri" w:hAnsi="Arial" w:cs="Arial"/>
          <w:lang w:val="es-MX"/>
        </w:rPr>
        <w:t>fij</w:t>
      </w:r>
      <w:r>
        <w:rPr>
          <w:rFonts w:ascii="Arial" w:eastAsia="Calibri" w:hAnsi="Arial" w:cs="Arial"/>
          <w:lang w:val="es-MX"/>
        </w:rPr>
        <w:t>ó</w:t>
      </w:r>
      <w:r w:rsidRPr="001F2D25">
        <w:rPr>
          <w:rFonts w:ascii="Arial" w:eastAsia="Calibri" w:hAnsi="Arial" w:cs="Arial"/>
          <w:lang w:val="es-MX"/>
        </w:rPr>
        <w:t xml:space="preserve"> el liti</w:t>
      </w:r>
      <w:r>
        <w:rPr>
          <w:rFonts w:ascii="Arial" w:eastAsia="Calibri" w:hAnsi="Arial" w:cs="Arial"/>
          <w:lang w:val="es-MX"/>
        </w:rPr>
        <w:t>gio u objeto de la controversia</w:t>
      </w:r>
      <w:r w:rsidR="005565BA">
        <w:rPr>
          <w:rFonts w:ascii="Arial" w:eastAsia="Calibri" w:hAnsi="Arial" w:cs="Arial"/>
          <w:lang w:val="es-MX"/>
        </w:rPr>
        <w:t xml:space="preserve"> y las razones para dictar sentencia anticipada</w:t>
      </w:r>
      <w:r>
        <w:rPr>
          <w:rFonts w:ascii="Arial" w:eastAsia="Calibri" w:hAnsi="Arial" w:cs="Arial"/>
          <w:lang w:val="es-MX"/>
        </w:rPr>
        <w:t>, sin que se presentara recurso por parte de los apoderados o el agente del Ministerio Público.</w:t>
      </w:r>
      <w:r w:rsidRPr="001F2D25">
        <w:rPr>
          <w:rFonts w:ascii="Arial" w:eastAsia="Calibri" w:hAnsi="Arial" w:cs="Arial"/>
          <w:lang w:val="es-MX"/>
        </w:rPr>
        <w:t xml:space="preserve"> </w:t>
      </w:r>
    </w:p>
    <w:p w14:paraId="1ACF0C8E" w14:textId="7746B053" w:rsidR="007A5650" w:rsidRDefault="007A5650" w:rsidP="007A5650">
      <w:pPr>
        <w:pStyle w:val="Sinespaciado"/>
        <w:jc w:val="both"/>
        <w:rPr>
          <w:rFonts w:ascii="Arial" w:eastAsia="Calibri" w:hAnsi="Arial" w:cs="Arial"/>
          <w:lang w:val="es-MX"/>
        </w:rPr>
      </w:pPr>
    </w:p>
    <w:p w14:paraId="0D94BF41" w14:textId="77777777" w:rsidR="005565BA" w:rsidRDefault="005565BA" w:rsidP="005565BA">
      <w:pPr>
        <w:pStyle w:val="Sinespaciado"/>
        <w:jc w:val="both"/>
        <w:rPr>
          <w:rFonts w:ascii="Arial" w:eastAsia="Calibri" w:hAnsi="Arial" w:cs="Arial"/>
          <w:lang w:val="es-MX"/>
        </w:rPr>
      </w:pPr>
      <w:r>
        <w:rPr>
          <w:rFonts w:ascii="Arial" w:eastAsia="Calibri" w:hAnsi="Arial" w:cs="Arial"/>
          <w:lang w:val="es-MX"/>
        </w:rPr>
        <w:t>Mediante auto 250 del 20 de agosto de 2021, se c</w:t>
      </w:r>
      <w:r w:rsidRPr="001F2D25">
        <w:rPr>
          <w:rFonts w:ascii="Arial" w:eastAsia="Calibri" w:hAnsi="Arial" w:cs="Arial"/>
          <w:lang w:val="es-MX"/>
        </w:rPr>
        <w:t>orr</w:t>
      </w:r>
      <w:r>
        <w:rPr>
          <w:rFonts w:ascii="Arial" w:eastAsia="Calibri" w:hAnsi="Arial" w:cs="Arial"/>
          <w:lang w:val="es-MX"/>
        </w:rPr>
        <w:t>ió</w:t>
      </w:r>
      <w:r w:rsidRPr="001F2D25">
        <w:rPr>
          <w:rFonts w:ascii="Arial" w:eastAsia="Calibri" w:hAnsi="Arial" w:cs="Arial"/>
          <w:lang w:val="es-MX"/>
        </w:rPr>
        <w:t xml:space="preserve"> traslado para alegar de conclusión en la forma prevista en el inciso final</w:t>
      </w:r>
      <w:r>
        <w:rPr>
          <w:rFonts w:ascii="Arial" w:eastAsia="Calibri" w:hAnsi="Arial" w:cs="Arial"/>
          <w:lang w:val="es-MX"/>
        </w:rPr>
        <w:t xml:space="preserve"> del artículo 181 del CPACA. </w:t>
      </w:r>
    </w:p>
    <w:p w14:paraId="464DFF8C" w14:textId="77777777" w:rsidR="005565BA" w:rsidRDefault="005565BA" w:rsidP="005565BA">
      <w:pPr>
        <w:pStyle w:val="Sinespaciado"/>
        <w:jc w:val="both"/>
        <w:rPr>
          <w:rFonts w:ascii="Arial" w:eastAsia="Calibri" w:hAnsi="Arial" w:cs="Arial"/>
          <w:lang w:val="es-MX"/>
        </w:rPr>
      </w:pPr>
    </w:p>
    <w:p w14:paraId="48AFBE72" w14:textId="0F900004" w:rsidR="005565BA" w:rsidRPr="001F2D25" w:rsidRDefault="005565BA" w:rsidP="005565BA">
      <w:pPr>
        <w:pStyle w:val="Sinespaciado"/>
        <w:jc w:val="both"/>
        <w:rPr>
          <w:rFonts w:ascii="Arial" w:eastAsia="Calibri" w:hAnsi="Arial" w:cs="Arial"/>
          <w:lang w:val="es-MX"/>
        </w:rPr>
      </w:pPr>
      <w:r>
        <w:rPr>
          <w:rFonts w:ascii="Arial" w:eastAsia="Calibri" w:hAnsi="Arial" w:cs="Arial"/>
          <w:lang w:val="es-MX"/>
        </w:rPr>
        <w:t xml:space="preserve">Las partes presentaron alegatos dentro del término legal, manteniendo las posiciones planteadas en demandad y contestación. </w:t>
      </w:r>
    </w:p>
    <w:p w14:paraId="594D6ED4" w14:textId="77777777" w:rsidR="00687A88" w:rsidRDefault="00687A88">
      <w:pPr>
        <w:rPr>
          <w:rFonts w:ascii="Arial" w:hAnsi="Arial" w:cs="Arial"/>
        </w:rPr>
      </w:pPr>
    </w:p>
    <w:p w14:paraId="11C0FC4C" w14:textId="7578CCE7" w:rsidR="00297072" w:rsidRPr="007A5650" w:rsidRDefault="00297072">
      <w:pPr>
        <w:rPr>
          <w:rFonts w:ascii="Arial" w:hAnsi="Arial" w:cs="Arial"/>
          <w:b/>
        </w:rPr>
      </w:pPr>
      <w:r w:rsidRPr="007A5650">
        <w:rPr>
          <w:rFonts w:ascii="Arial" w:hAnsi="Arial" w:cs="Arial"/>
          <w:b/>
        </w:rPr>
        <w:t>EL CASO PARCICULAR.</w:t>
      </w:r>
    </w:p>
    <w:p w14:paraId="339BA795" w14:textId="4C5896D6" w:rsidR="00297072" w:rsidRDefault="00297072">
      <w:pPr>
        <w:rPr>
          <w:rFonts w:ascii="Arial" w:hAnsi="Arial" w:cs="Arial"/>
        </w:rPr>
      </w:pPr>
      <w:r>
        <w:rPr>
          <w:rFonts w:ascii="Arial" w:hAnsi="Arial" w:cs="Arial"/>
        </w:rPr>
        <w:t>De conformidad con las pruebas aportadas por las partes, se encuentra:</w:t>
      </w:r>
    </w:p>
    <w:p w14:paraId="7D9F6DEC" w14:textId="02A5FF2C" w:rsidR="00297072" w:rsidRDefault="00297072">
      <w:pPr>
        <w:rPr>
          <w:rFonts w:ascii="Arial" w:hAnsi="Arial" w:cs="Arial"/>
        </w:rPr>
      </w:pPr>
      <w:r>
        <w:rPr>
          <w:rFonts w:ascii="Arial" w:hAnsi="Arial" w:cs="Arial"/>
        </w:rPr>
        <w:t>La queja ante la Superintendencia se presentó el 1 de noviembre de 2006</w:t>
      </w:r>
    </w:p>
    <w:p w14:paraId="6F49F0C1" w14:textId="25EB5423" w:rsidR="00297072" w:rsidRDefault="00297072">
      <w:pPr>
        <w:rPr>
          <w:rFonts w:ascii="Arial" w:hAnsi="Arial" w:cs="Arial"/>
        </w:rPr>
      </w:pPr>
      <w:r>
        <w:rPr>
          <w:rFonts w:ascii="Arial" w:hAnsi="Arial" w:cs="Arial"/>
        </w:rPr>
        <w:lastRenderedPageBreak/>
        <w:t>Mediante Auto del 19 de noviembre de 2007, se decide adelantar la actuación administrativa respectiva.</w:t>
      </w:r>
    </w:p>
    <w:p w14:paraId="664CA88F" w14:textId="7E3AA133" w:rsidR="00297072" w:rsidRDefault="00297072" w:rsidP="00297072">
      <w:pPr>
        <w:jc w:val="both"/>
        <w:rPr>
          <w:rFonts w:ascii="Arial" w:hAnsi="Arial" w:cs="Arial"/>
        </w:rPr>
      </w:pPr>
      <w:r>
        <w:rPr>
          <w:rFonts w:ascii="Arial" w:hAnsi="Arial" w:cs="Arial"/>
        </w:rPr>
        <w:t xml:space="preserve">Mediante  Resolución No. 1024 del 22 de septiembre de 2009, </w:t>
      </w:r>
      <w:proofErr w:type="gramStart"/>
      <w:r>
        <w:rPr>
          <w:rFonts w:ascii="Arial" w:hAnsi="Arial" w:cs="Arial"/>
        </w:rPr>
        <w:t>la</w:t>
      </w:r>
      <w:proofErr w:type="gramEnd"/>
      <w:r>
        <w:rPr>
          <w:rFonts w:ascii="Arial" w:hAnsi="Arial" w:cs="Arial"/>
        </w:rPr>
        <w:t xml:space="preserve"> Jefe de Oficina de Regulaciones de Competencia decide sancionar al concesionario EPM</w:t>
      </w:r>
      <w:r w:rsidR="00F239B8">
        <w:rPr>
          <w:rFonts w:ascii="Arial" w:hAnsi="Arial" w:cs="Arial"/>
        </w:rPr>
        <w:t xml:space="preserve"> Telecomunicaciones S.A. E.P.S: debido a la trasmisión de un programa que resultó violatorio del artículo 12 de la L</w:t>
      </w:r>
      <w:r w:rsidR="008E076F">
        <w:rPr>
          <w:rFonts w:ascii="Arial" w:hAnsi="Arial" w:cs="Arial"/>
        </w:rPr>
        <w:t>ey 256 de 1996.</w:t>
      </w:r>
    </w:p>
    <w:p w14:paraId="7B68CAD7" w14:textId="16B31390" w:rsidR="008E076F" w:rsidRDefault="008E076F" w:rsidP="00297072">
      <w:pPr>
        <w:jc w:val="both"/>
        <w:rPr>
          <w:rFonts w:ascii="Arial" w:hAnsi="Arial" w:cs="Arial"/>
        </w:rPr>
      </w:pPr>
      <w:r>
        <w:rPr>
          <w:rFonts w:ascii="Arial" w:hAnsi="Arial" w:cs="Arial"/>
        </w:rPr>
        <w:t>El acto administrativo, antes referido fue notificado el 5 de octubre de 2009.</w:t>
      </w:r>
    </w:p>
    <w:p w14:paraId="74204AB4" w14:textId="36850C09" w:rsidR="00287D05" w:rsidRDefault="00287D05" w:rsidP="00297072">
      <w:pPr>
        <w:jc w:val="both"/>
        <w:rPr>
          <w:rFonts w:ascii="Arial" w:hAnsi="Arial" w:cs="Arial"/>
        </w:rPr>
      </w:pPr>
      <w:r>
        <w:rPr>
          <w:rFonts w:ascii="Arial" w:hAnsi="Arial" w:cs="Arial"/>
        </w:rPr>
        <w:t xml:space="preserve">A través de la resolución No. 1394 del 14 de diciembre de 2009, se aclaró la Resolución No. 1024 del mismo año, en el sentido de determinar que el recurso de reposición se debía presentar ante la misma dependencia que emitió el acto administrativo y que el recurso de apelación debía presentarse ante la Junta Directiva de la entidad, en consecuencia se </w:t>
      </w:r>
      <w:r w:rsidR="000C465A">
        <w:rPr>
          <w:rFonts w:ascii="Arial" w:hAnsi="Arial" w:cs="Arial"/>
        </w:rPr>
        <w:t>declara</w:t>
      </w:r>
      <w:r>
        <w:rPr>
          <w:rFonts w:ascii="Arial" w:hAnsi="Arial" w:cs="Arial"/>
        </w:rPr>
        <w:t xml:space="preserve"> ineficaz la notificación del 5 de octubre de 2009.</w:t>
      </w:r>
    </w:p>
    <w:p w14:paraId="6A859128" w14:textId="075DDD75" w:rsidR="00287D05" w:rsidRDefault="00287D05" w:rsidP="00297072">
      <w:pPr>
        <w:jc w:val="both"/>
        <w:rPr>
          <w:rFonts w:ascii="Arial" w:hAnsi="Arial" w:cs="Arial"/>
        </w:rPr>
      </w:pPr>
      <w:r>
        <w:rPr>
          <w:rFonts w:ascii="Arial" w:hAnsi="Arial" w:cs="Arial"/>
        </w:rPr>
        <w:t>La Resolución 1394 de 2009 fue notificada el 14 de enero de 2010.</w:t>
      </w:r>
    </w:p>
    <w:p w14:paraId="757F8C08" w14:textId="77777777" w:rsidR="00287D05" w:rsidRDefault="00287D05" w:rsidP="00297072">
      <w:pPr>
        <w:jc w:val="both"/>
        <w:rPr>
          <w:rFonts w:ascii="Arial" w:hAnsi="Arial" w:cs="Arial"/>
        </w:rPr>
      </w:pPr>
      <w:r>
        <w:rPr>
          <w:rFonts w:ascii="Arial" w:hAnsi="Arial" w:cs="Arial"/>
        </w:rPr>
        <w:t>Con la resolución 327 del 23 de marzo de 2010 se decide aclarar nuevamente la Resolución 1024 del 22 de septiembre de 2009, por cuanto aparte de EPM TELECOMUNICACIONES se había notificado a Seguros del estado, como garante de la obligación, siendo SEGUROS CONFIANZA el sujeto procesal a ser llamada en garantía.  En consecuencia, se declaró ineficaz la notificación del 14 de enero de 2010.</w:t>
      </w:r>
    </w:p>
    <w:p w14:paraId="19FE41EF" w14:textId="77777777" w:rsidR="000928FD" w:rsidRDefault="00287D05" w:rsidP="00297072">
      <w:pPr>
        <w:jc w:val="both"/>
        <w:rPr>
          <w:rFonts w:ascii="Arial" w:hAnsi="Arial" w:cs="Arial"/>
        </w:rPr>
      </w:pPr>
      <w:r>
        <w:rPr>
          <w:rFonts w:ascii="Arial" w:hAnsi="Arial" w:cs="Arial"/>
        </w:rPr>
        <w:t>La Resolución 327 de 2010, fue notificada el 28 de abril de 2010.</w:t>
      </w:r>
    </w:p>
    <w:p w14:paraId="37057492" w14:textId="59E5167C" w:rsidR="00287D05" w:rsidRDefault="000928FD" w:rsidP="00297072">
      <w:pPr>
        <w:jc w:val="both"/>
        <w:rPr>
          <w:rFonts w:ascii="Arial" w:hAnsi="Arial" w:cs="Arial"/>
        </w:rPr>
      </w:pPr>
      <w:r>
        <w:rPr>
          <w:rFonts w:ascii="Arial" w:hAnsi="Arial" w:cs="Arial"/>
        </w:rPr>
        <w:t xml:space="preserve">De conformidad con el CPACA, la facultad que tienen las autoridades  para imponer sanciones caduca a los tres años de producido el acto que pueda </w:t>
      </w:r>
      <w:r w:rsidR="002145D8">
        <w:rPr>
          <w:rFonts w:ascii="Arial" w:hAnsi="Arial" w:cs="Arial"/>
        </w:rPr>
        <w:t>ocasionarlas</w:t>
      </w:r>
      <w:r>
        <w:rPr>
          <w:rFonts w:ascii="Arial" w:hAnsi="Arial" w:cs="Arial"/>
        </w:rPr>
        <w:t xml:space="preserve">. </w:t>
      </w:r>
      <w:r w:rsidR="00287D05">
        <w:rPr>
          <w:rFonts w:ascii="Arial" w:hAnsi="Arial" w:cs="Arial"/>
        </w:rPr>
        <w:t xml:space="preserve"> </w:t>
      </w:r>
    </w:p>
    <w:p w14:paraId="55432431" w14:textId="5C616D43" w:rsidR="005565BA" w:rsidRPr="007A5650" w:rsidRDefault="005565BA" w:rsidP="005565BA">
      <w:pPr>
        <w:pStyle w:val="Sinespaciado"/>
        <w:jc w:val="both"/>
        <w:rPr>
          <w:rFonts w:ascii="Arial" w:eastAsia="Calibri" w:hAnsi="Arial" w:cs="Arial"/>
          <w:lang w:val="es-MX"/>
        </w:rPr>
      </w:pPr>
      <w:r>
        <w:rPr>
          <w:rFonts w:ascii="Arial" w:eastAsia="Calibri" w:hAnsi="Arial" w:cs="Arial"/>
          <w:lang w:val="es-MX"/>
        </w:rPr>
        <w:t xml:space="preserve">En aplicación al </w:t>
      </w:r>
      <w:r w:rsidRPr="007A5650">
        <w:rPr>
          <w:rFonts w:ascii="Arial" w:eastAsia="Calibri" w:hAnsi="Arial" w:cs="Arial"/>
          <w:lang w:val="es-MX"/>
        </w:rPr>
        <w:t>Numeral</w:t>
      </w:r>
      <w:r>
        <w:rPr>
          <w:rFonts w:ascii="Arial" w:eastAsia="Calibri" w:hAnsi="Arial" w:cs="Arial"/>
          <w:lang w:val="es-MX"/>
        </w:rPr>
        <w:t xml:space="preserve"> 1° del artículo 182A del CPACA, se procede a dictar:</w:t>
      </w:r>
    </w:p>
    <w:p w14:paraId="19FFF5CE" w14:textId="77777777" w:rsidR="002554BA" w:rsidRDefault="002554BA" w:rsidP="00297072">
      <w:pPr>
        <w:jc w:val="both"/>
        <w:rPr>
          <w:rFonts w:ascii="Arial" w:hAnsi="Arial" w:cs="Arial"/>
        </w:rPr>
      </w:pPr>
    </w:p>
    <w:p w14:paraId="0B858E38" w14:textId="2D73261F" w:rsidR="002554BA" w:rsidRPr="00AA5270" w:rsidRDefault="002554BA" w:rsidP="00297072">
      <w:pPr>
        <w:jc w:val="both"/>
        <w:rPr>
          <w:rFonts w:ascii="Arial" w:hAnsi="Arial" w:cs="Arial"/>
          <w:b/>
        </w:rPr>
      </w:pPr>
      <w:r w:rsidRPr="00AA5270">
        <w:rPr>
          <w:rFonts w:ascii="Arial" w:hAnsi="Arial" w:cs="Arial"/>
          <w:b/>
        </w:rPr>
        <w:t>SENTENCIA ANTICIPADA</w:t>
      </w:r>
    </w:p>
    <w:p w14:paraId="358A4E60" w14:textId="7C57E8FB" w:rsidR="002554BA" w:rsidRDefault="002554BA" w:rsidP="00297072">
      <w:pPr>
        <w:jc w:val="both"/>
        <w:rPr>
          <w:rFonts w:ascii="Arial" w:hAnsi="Arial" w:cs="Arial"/>
        </w:rPr>
      </w:pPr>
      <w:r>
        <w:rPr>
          <w:rFonts w:ascii="Arial" w:hAnsi="Arial" w:cs="Arial"/>
        </w:rPr>
        <w:t xml:space="preserve">De conformidad con el acervo probatorio señalado, el  término de 3 años con el que contaba la demandada para imponer la sanción, se empieza a contar del </w:t>
      </w:r>
      <w:proofErr w:type="spellStart"/>
      <w:r>
        <w:rPr>
          <w:rFonts w:ascii="Arial" w:hAnsi="Arial" w:cs="Arial"/>
        </w:rPr>
        <w:t>del</w:t>
      </w:r>
      <w:proofErr w:type="spellEnd"/>
      <w:r>
        <w:rPr>
          <w:rFonts w:ascii="Arial" w:hAnsi="Arial" w:cs="Arial"/>
        </w:rPr>
        <w:t xml:space="preserve"> 1 de noviembre de 2006, momento en el que se tuvo conocimiento de la queja.</w:t>
      </w:r>
    </w:p>
    <w:p w14:paraId="2D644FD8" w14:textId="57A77B41" w:rsidR="002554BA" w:rsidRDefault="002554BA" w:rsidP="00297072">
      <w:pPr>
        <w:jc w:val="both"/>
        <w:rPr>
          <w:rFonts w:ascii="Arial" w:hAnsi="Arial" w:cs="Arial"/>
        </w:rPr>
      </w:pPr>
      <w:r>
        <w:rPr>
          <w:rFonts w:ascii="Arial" w:hAnsi="Arial" w:cs="Arial"/>
        </w:rPr>
        <w:t>Así las cosas, el término máximo para dictar la sanción era el 1 de noviembre de 200</w:t>
      </w:r>
      <w:r w:rsidR="00AF1BBE">
        <w:rPr>
          <w:rFonts w:ascii="Arial" w:hAnsi="Arial" w:cs="Arial"/>
        </w:rPr>
        <w:t>9. Por consiguiente</w:t>
      </w:r>
      <w:r>
        <w:rPr>
          <w:rFonts w:ascii="Arial" w:hAnsi="Arial" w:cs="Arial"/>
        </w:rPr>
        <w:t>,</w:t>
      </w:r>
      <w:r w:rsidR="00AF1BBE">
        <w:rPr>
          <w:rFonts w:ascii="Arial" w:hAnsi="Arial" w:cs="Arial"/>
        </w:rPr>
        <w:t xml:space="preserve"> habiéndose notificado la Resolución 327 de 2010 en fecha 21 de abril de 2010, la facultad sancionatoria de la CNTV, había caducado, pues esta fenecía </w:t>
      </w:r>
      <w:r>
        <w:rPr>
          <w:rFonts w:ascii="Arial" w:hAnsi="Arial" w:cs="Arial"/>
        </w:rPr>
        <w:t xml:space="preserve"> </w:t>
      </w:r>
      <w:r w:rsidR="00AF1BBE">
        <w:rPr>
          <w:rFonts w:ascii="Arial" w:hAnsi="Arial" w:cs="Arial"/>
        </w:rPr>
        <w:t>el primero de noviembre de 2009, como ya se indicó.</w:t>
      </w:r>
    </w:p>
    <w:p w14:paraId="204ED735" w14:textId="77777777" w:rsidR="00D95F06" w:rsidRDefault="00D95F06" w:rsidP="00297072">
      <w:pPr>
        <w:jc w:val="both"/>
        <w:rPr>
          <w:rFonts w:ascii="Arial" w:hAnsi="Arial" w:cs="Arial"/>
        </w:rPr>
      </w:pPr>
      <w:r>
        <w:rPr>
          <w:rFonts w:ascii="Arial" w:hAnsi="Arial" w:cs="Arial"/>
        </w:rPr>
        <w:lastRenderedPageBreak/>
        <w:t>Corolario con lo anterior, los actos administrativos demandados se encuentran viciados de nulidad, por la falta de competencia.</w:t>
      </w:r>
    </w:p>
    <w:p w14:paraId="7D51BE39" w14:textId="0E0496CC" w:rsidR="00D95F06" w:rsidRPr="00AA5270" w:rsidRDefault="00AA5270" w:rsidP="00297072">
      <w:pPr>
        <w:jc w:val="both"/>
        <w:rPr>
          <w:rFonts w:ascii="Arial" w:hAnsi="Arial" w:cs="Arial"/>
          <w:b/>
        </w:rPr>
      </w:pPr>
      <w:r w:rsidRPr="00AA5270">
        <w:rPr>
          <w:rFonts w:ascii="Arial" w:hAnsi="Arial" w:cs="Arial"/>
          <w:b/>
        </w:rPr>
        <w:t>DECISIÓN</w:t>
      </w:r>
    </w:p>
    <w:p w14:paraId="5CCBB5A6" w14:textId="68A5DA92" w:rsidR="00AA5270" w:rsidRDefault="00AA5270" w:rsidP="00297072">
      <w:pPr>
        <w:jc w:val="both"/>
        <w:rPr>
          <w:rFonts w:ascii="Arial" w:hAnsi="Arial" w:cs="Arial"/>
        </w:rPr>
      </w:pPr>
      <w:r>
        <w:rPr>
          <w:rFonts w:ascii="Arial" w:hAnsi="Arial" w:cs="Arial"/>
        </w:rPr>
        <w:t>En mérito de lo expuesto, la Sala de decisión No. 5 del tribunal Administrativo de Cundinamarca, administrando justicia en nombre de la República y por autoridad de la ley,</w:t>
      </w:r>
    </w:p>
    <w:p w14:paraId="3FBE6C68" w14:textId="77777777" w:rsidR="00AA5270" w:rsidRDefault="00AA5270" w:rsidP="00297072">
      <w:pPr>
        <w:jc w:val="both"/>
        <w:rPr>
          <w:rFonts w:ascii="Arial" w:hAnsi="Arial" w:cs="Arial"/>
        </w:rPr>
      </w:pPr>
    </w:p>
    <w:p w14:paraId="609122B2" w14:textId="2D257E42" w:rsidR="00AA5270" w:rsidRPr="00AA5270" w:rsidRDefault="00AA5270" w:rsidP="00AA5270">
      <w:pPr>
        <w:jc w:val="center"/>
        <w:rPr>
          <w:rFonts w:ascii="Arial" w:hAnsi="Arial" w:cs="Arial"/>
          <w:b/>
        </w:rPr>
      </w:pPr>
      <w:r w:rsidRPr="00AA5270">
        <w:rPr>
          <w:rFonts w:ascii="Arial" w:hAnsi="Arial" w:cs="Arial"/>
          <w:b/>
        </w:rPr>
        <w:t>FALLA</w:t>
      </w:r>
    </w:p>
    <w:p w14:paraId="3AECE54D" w14:textId="63C088B2" w:rsidR="00AA5270" w:rsidRDefault="00AA5270" w:rsidP="00297072">
      <w:pPr>
        <w:jc w:val="both"/>
        <w:rPr>
          <w:rFonts w:ascii="Arial" w:hAnsi="Arial" w:cs="Arial"/>
        </w:rPr>
      </w:pPr>
      <w:r>
        <w:rPr>
          <w:rFonts w:ascii="Arial" w:hAnsi="Arial" w:cs="Arial"/>
        </w:rPr>
        <w:t xml:space="preserve">PRIMERO: Declarar la nulidad de la </w:t>
      </w:r>
      <w:r>
        <w:rPr>
          <w:rFonts w:ascii="Arial" w:hAnsi="Arial" w:cs="Arial"/>
        </w:rPr>
        <w:t>Resolución 327 de 2010</w:t>
      </w:r>
      <w:r>
        <w:rPr>
          <w:rFonts w:ascii="Arial" w:hAnsi="Arial" w:cs="Arial"/>
        </w:rPr>
        <w:t>.</w:t>
      </w:r>
    </w:p>
    <w:p w14:paraId="60EF9F56" w14:textId="01C63204" w:rsidR="00AA5270" w:rsidRDefault="00AA5270" w:rsidP="00297072">
      <w:pPr>
        <w:jc w:val="both"/>
        <w:rPr>
          <w:rFonts w:ascii="Arial" w:hAnsi="Arial" w:cs="Arial"/>
        </w:rPr>
      </w:pPr>
      <w:r>
        <w:rPr>
          <w:rFonts w:ascii="Arial" w:hAnsi="Arial" w:cs="Arial"/>
        </w:rPr>
        <w:t xml:space="preserve">SEGUNDO: Restablecer el derecho de la </w:t>
      </w:r>
      <w:r>
        <w:rPr>
          <w:rFonts w:ascii="Arial" w:hAnsi="Arial" w:cs="Arial"/>
        </w:rPr>
        <w:t>EPM TELECOMUNICACIONES</w:t>
      </w:r>
      <w:r>
        <w:rPr>
          <w:rFonts w:ascii="Arial" w:hAnsi="Arial" w:cs="Arial"/>
        </w:rPr>
        <w:t>, mediante el reintegro del valor cancelado, correspondiendo a 545.000.000, más  1,200.000  por intereses causados.</w:t>
      </w:r>
    </w:p>
    <w:p w14:paraId="2B79804C" w14:textId="6332B313" w:rsidR="00AA5270" w:rsidRDefault="00AA5270" w:rsidP="00297072">
      <w:pPr>
        <w:jc w:val="both"/>
        <w:rPr>
          <w:rFonts w:ascii="Arial" w:hAnsi="Arial" w:cs="Arial"/>
        </w:rPr>
      </w:pPr>
      <w:r>
        <w:rPr>
          <w:rFonts w:ascii="Arial" w:hAnsi="Arial" w:cs="Arial"/>
        </w:rPr>
        <w:t>TERCERO: Condenar en costas a la parte vencida, de acuerdo a lo previsto en el artículo 365 del CGP.</w:t>
      </w:r>
    </w:p>
    <w:p w14:paraId="7FD2766E" w14:textId="77777777" w:rsidR="00AA5270" w:rsidRDefault="00AA5270" w:rsidP="00AA5270">
      <w:pPr>
        <w:pStyle w:val="Default"/>
        <w:rPr>
          <w:sz w:val="23"/>
          <w:szCs w:val="23"/>
        </w:rPr>
      </w:pPr>
      <w:r>
        <w:rPr>
          <w:b/>
          <w:bCs/>
          <w:sz w:val="23"/>
          <w:szCs w:val="23"/>
        </w:rPr>
        <w:t xml:space="preserve">CÓPIESE, NOTIFÍQUESE Y CÚMPLASE </w:t>
      </w:r>
    </w:p>
    <w:p w14:paraId="1C0F54B3" w14:textId="77777777" w:rsidR="00AA5270" w:rsidRDefault="00AA5270" w:rsidP="00AA5270">
      <w:pPr>
        <w:jc w:val="both"/>
        <w:rPr>
          <w:sz w:val="23"/>
          <w:szCs w:val="23"/>
        </w:rPr>
      </w:pPr>
    </w:p>
    <w:p w14:paraId="50608827" w14:textId="481656DE" w:rsidR="00287D05" w:rsidRDefault="00AA5270" w:rsidP="00AA5270">
      <w:pPr>
        <w:jc w:val="both"/>
        <w:rPr>
          <w:sz w:val="23"/>
          <w:szCs w:val="23"/>
        </w:rPr>
      </w:pPr>
      <w:r>
        <w:rPr>
          <w:sz w:val="23"/>
          <w:szCs w:val="23"/>
        </w:rPr>
        <w:t>La anterior providencia fue considerada y aprobada por la Sala en sesión de la fecha.</w:t>
      </w:r>
    </w:p>
    <w:p w14:paraId="13310689" w14:textId="77777777" w:rsidR="00AA5270" w:rsidRDefault="00AA5270" w:rsidP="00AA5270">
      <w:pPr>
        <w:jc w:val="both"/>
        <w:rPr>
          <w:sz w:val="23"/>
          <w:szCs w:val="23"/>
        </w:rPr>
      </w:pPr>
    </w:p>
    <w:p w14:paraId="29DF16A9" w14:textId="77777777" w:rsidR="00AA5270" w:rsidRDefault="00AA5270" w:rsidP="00AA5270">
      <w:pPr>
        <w:pStyle w:val="Default"/>
        <w:rPr>
          <w:sz w:val="23"/>
          <w:szCs w:val="23"/>
        </w:rPr>
      </w:pPr>
      <w:r>
        <w:rPr>
          <w:b/>
          <w:bCs/>
          <w:sz w:val="23"/>
          <w:szCs w:val="23"/>
        </w:rPr>
        <w:t xml:space="preserve">RAFAEL FRANCISCO SUÁREZ VARGAS </w:t>
      </w:r>
    </w:p>
    <w:p w14:paraId="6E750C10" w14:textId="77777777" w:rsidR="00AA5270" w:rsidRDefault="00AA5270" w:rsidP="00AA5270">
      <w:pPr>
        <w:pStyle w:val="Default"/>
        <w:rPr>
          <w:sz w:val="23"/>
          <w:szCs w:val="23"/>
        </w:rPr>
      </w:pPr>
      <w:r>
        <w:rPr>
          <w:sz w:val="23"/>
          <w:szCs w:val="23"/>
        </w:rPr>
        <w:t xml:space="preserve">Firmado electrónicamente </w:t>
      </w:r>
    </w:p>
    <w:p w14:paraId="6337C321" w14:textId="77777777" w:rsidR="00AA5270" w:rsidRDefault="00AA5270" w:rsidP="00AA5270">
      <w:pPr>
        <w:pStyle w:val="Default"/>
        <w:rPr>
          <w:b/>
          <w:bCs/>
          <w:sz w:val="23"/>
          <w:szCs w:val="23"/>
        </w:rPr>
      </w:pPr>
    </w:p>
    <w:p w14:paraId="1EB55F2A" w14:textId="77777777" w:rsidR="00AA5270" w:rsidRDefault="00AA5270" w:rsidP="00AA5270">
      <w:pPr>
        <w:pStyle w:val="Default"/>
        <w:rPr>
          <w:b/>
          <w:bCs/>
          <w:sz w:val="23"/>
          <w:szCs w:val="23"/>
        </w:rPr>
      </w:pPr>
      <w:r>
        <w:rPr>
          <w:b/>
          <w:bCs/>
          <w:sz w:val="23"/>
          <w:szCs w:val="23"/>
        </w:rPr>
        <w:t xml:space="preserve">WILLIAM HERNÁNDEZ GÓMEZ </w:t>
      </w:r>
    </w:p>
    <w:p w14:paraId="2AC8F2E1" w14:textId="621159BA" w:rsidR="00AA5270" w:rsidRPr="00B71EFF" w:rsidRDefault="00AA5270" w:rsidP="00B71EFF">
      <w:pPr>
        <w:jc w:val="both"/>
        <w:rPr>
          <w:rFonts w:ascii="Arial" w:hAnsi="Arial" w:cs="Arial"/>
        </w:rPr>
      </w:pPr>
      <w:r>
        <w:rPr>
          <w:sz w:val="23"/>
          <w:szCs w:val="23"/>
        </w:rPr>
        <w:t>Firmado electrónicamente Firmado electrónicamente</w:t>
      </w:r>
      <w:bookmarkStart w:id="0" w:name="_GoBack"/>
      <w:bookmarkEnd w:id="0"/>
    </w:p>
    <w:p w14:paraId="7A1A6F96" w14:textId="77777777" w:rsidR="00AA5270" w:rsidRDefault="00AA5270" w:rsidP="00AA5270">
      <w:pPr>
        <w:pStyle w:val="Default"/>
        <w:rPr>
          <w:b/>
          <w:bCs/>
          <w:sz w:val="23"/>
          <w:szCs w:val="23"/>
        </w:rPr>
      </w:pPr>
    </w:p>
    <w:p w14:paraId="1B5CA445" w14:textId="2F1098F6" w:rsidR="00AA5270" w:rsidRDefault="00AA5270" w:rsidP="00AA5270">
      <w:pPr>
        <w:pStyle w:val="Default"/>
        <w:rPr>
          <w:sz w:val="23"/>
          <w:szCs w:val="23"/>
        </w:rPr>
      </w:pPr>
      <w:r>
        <w:rPr>
          <w:b/>
          <w:bCs/>
          <w:sz w:val="23"/>
          <w:szCs w:val="23"/>
        </w:rPr>
        <w:t xml:space="preserve">GABRIEL VALBUENA HERNÁNDEZ </w:t>
      </w:r>
    </w:p>
    <w:p w14:paraId="5AD46F63" w14:textId="4C16B89E" w:rsidR="00AA5270" w:rsidRPr="001F2D25" w:rsidRDefault="00AA5270" w:rsidP="00AA5270">
      <w:pPr>
        <w:jc w:val="both"/>
        <w:rPr>
          <w:rFonts w:ascii="Arial" w:hAnsi="Arial" w:cs="Arial"/>
        </w:rPr>
      </w:pPr>
      <w:r>
        <w:rPr>
          <w:sz w:val="23"/>
          <w:szCs w:val="23"/>
        </w:rPr>
        <w:t>Firmado electrónicamente Firmado electrónicamente</w:t>
      </w:r>
    </w:p>
    <w:sectPr w:rsidR="00AA5270"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488099" w14:textId="77777777" w:rsidR="000928F4" w:rsidRDefault="000928F4">
      <w:pPr>
        <w:spacing w:after="0" w:line="240" w:lineRule="auto"/>
      </w:pPr>
      <w:r>
        <w:separator/>
      </w:r>
    </w:p>
  </w:endnote>
  <w:endnote w:type="continuationSeparator" w:id="0">
    <w:p w14:paraId="593AB313" w14:textId="77777777" w:rsidR="000928F4" w:rsidRDefault="00092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DengXian">
    <w:altName w:val="等线"/>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B71EFF" w:rsidRPr="00B71EFF">
          <w:rPr>
            <w:noProof/>
            <w:lang w:val="es-ES"/>
          </w:rPr>
          <w:t>6</w:t>
        </w:r>
        <w:r>
          <w:fldChar w:fldCharType="end"/>
        </w:r>
      </w:p>
    </w:sdtContent>
  </w:sdt>
  <w:p w14:paraId="2521E8EB" w14:textId="77777777" w:rsidR="00224C42" w:rsidRDefault="000928F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B71EFF" w:rsidRPr="00B71EFF">
          <w:rPr>
            <w:noProof/>
            <w:lang w:val="es-ES"/>
          </w:rPr>
          <w:t>1</w:t>
        </w:r>
        <w:r>
          <w:fldChar w:fldCharType="end"/>
        </w:r>
      </w:p>
    </w:sdtContent>
  </w:sdt>
  <w:p w14:paraId="60134C65" w14:textId="77777777" w:rsidR="00224C42" w:rsidRDefault="000928F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78444E" w14:textId="77777777" w:rsidR="000928F4" w:rsidRDefault="000928F4">
      <w:pPr>
        <w:spacing w:after="0" w:line="240" w:lineRule="auto"/>
      </w:pPr>
      <w:r>
        <w:separator/>
      </w:r>
    </w:p>
  </w:footnote>
  <w:footnote w:type="continuationSeparator" w:id="0">
    <w:p w14:paraId="15377DB6" w14:textId="77777777" w:rsidR="000928F4" w:rsidRDefault="000928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67EAF68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928F4"/>
    <w:rsid w:val="000928FD"/>
    <w:rsid w:val="000C465A"/>
    <w:rsid w:val="000D6A0D"/>
    <w:rsid w:val="000E5D86"/>
    <w:rsid w:val="000F105D"/>
    <w:rsid w:val="00127C6E"/>
    <w:rsid w:val="00195C31"/>
    <w:rsid w:val="001C54E3"/>
    <w:rsid w:val="001F2D25"/>
    <w:rsid w:val="002145D8"/>
    <w:rsid w:val="00222B39"/>
    <w:rsid w:val="00222D4A"/>
    <w:rsid w:val="0023682D"/>
    <w:rsid w:val="00245C3E"/>
    <w:rsid w:val="002554BA"/>
    <w:rsid w:val="00287D05"/>
    <w:rsid w:val="00297072"/>
    <w:rsid w:val="002971BC"/>
    <w:rsid w:val="002E526E"/>
    <w:rsid w:val="002F6A16"/>
    <w:rsid w:val="002F7D1D"/>
    <w:rsid w:val="00306339"/>
    <w:rsid w:val="00341FFF"/>
    <w:rsid w:val="003A0FA3"/>
    <w:rsid w:val="003B379B"/>
    <w:rsid w:val="00407892"/>
    <w:rsid w:val="004430DA"/>
    <w:rsid w:val="00462075"/>
    <w:rsid w:val="004C270A"/>
    <w:rsid w:val="00532C33"/>
    <w:rsid w:val="00532DA0"/>
    <w:rsid w:val="005565BA"/>
    <w:rsid w:val="00565605"/>
    <w:rsid w:val="00591BD3"/>
    <w:rsid w:val="005B3ECD"/>
    <w:rsid w:val="005C690E"/>
    <w:rsid w:val="005D343D"/>
    <w:rsid w:val="00665D50"/>
    <w:rsid w:val="00687A88"/>
    <w:rsid w:val="006E320B"/>
    <w:rsid w:val="00764314"/>
    <w:rsid w:val="0079141B"/>
    <w:rsid w:val="007A5650"/>
    <w:rsid w:val="007D59E3"/>
    <w:rsid w:val="00823B31"/>
    <w:rsid w:val="00857522"/>
    <w:rsid w:val="008E076F"/>
    <w:rsid w:val="00926ADA"/>
    <w:rsid w:val="00965363"/>
    <w:rsid w:val="0096597C"/>
    <w:rsid w:val="009E3199"/>
    <w:rsid w:val="009F132D"/>
    <w:rsid w:val="00A461DF"/>
    <w:rsid w:val="00A62E46"/>
    <w:rsid w:val="00AA5270"/>
    <w:rsid w:val="00AF1BBE"/>
    <w:rsid w:val="00B47DA4"/>
    <w:rsid w:val="00B54827"/>
    <w:rsid w:val="00B713D2"/>
    <w:rsid w:val="00B71EFF"/>
    <w:rsid w:val="00C43096"/>
    <w:rsid w:val="00C53F95"/>
    <w:rsid w:val="00C5649B"/>
    <w:rsid w:val="00CC64F1"/>
    <w:rsid w:val="00CF03D9"/>
    <w:rsid w:val="00D111DA"/>
    <w:rsid w:val="00D747D0"/>
    <w:rsid w:val="00D75A67"/>
    <w:rsid w:val="00D875A8"/>
    <w:rsid w:val="00D95F06"/>
    <w:rsid w:val="00DB38E3"/>
    <w:rsid w:val="00DC796E"/>
    <w:rsid w:val="00DE6DCB"/>
    <w:rsid w:val="00E031FD"/>
    <w:rsid w:val="00E03626"/>
    <w:rsid w:val="00E377AA"/>
    <w:rsid w:val="00E42B7C"/>
    <w:rsid w:val="00E61BDD"/>
    <w:rsid w:val="00E93701"/>
    <w:rsid w:val="00EB3514"/>
    <w:rsid w:val="00ED4ECD"/>
    <w:rsid w:val="00EE219B"/>
    <w:rsid w:val="00F239B8"/>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 w:type="paragraph" w:customStyle="1" w:styleId="Default">
    <w:name w:val="Default"/>
    <w:rsid w:val="00AA5270"/>
    <w:pPr>
      <w:autoSpaceDE w:val="0"/>
      <w:autoSpaceDN w:val="0"/>
      <w:adjustRightInd w:val="0"/>
      <w:spacing w:after="0" w:line="240" w:lineRule="auto"/>
    </w:pPr>
    <w:rPr>
      <w:rFonts w:ascii="Arial" w:hAnsi="Arial" w:cs="Arial"/>
      <w:color w:val="000000"/>
      <w:sz w:val="24"/>
      <w:szCs w:val="24"/>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130DED-5D6F-4B37-A5E1-310DE9502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1562</TotalTime>
  <Pages>6</Pages>
  <Words>1695</Words>
  <Characters>9323</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Monica Ivon Escalante Rueda</cp:lastModifiedBy>
  <cp:revision>19</cp:revision>
  <dcterms:created xsi:type="dcterms:W3CDTF">2021-08-18T15:39:00Z</dcterms:created>
  <dcterms:modified xsi:type="dcterms:W3CDTF">2021-09-02T22:08:00Z</dcterms:modified>
</cp:coreProperties>
</file>