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E519A" w14:textId="77777777" w:rsidR="00ED4ECD" w:rsidRPr="001F2D25" w:rsidRDefault="00ED4ECD" w:rsidP="00B2177C">
      <w:pPr>
        <w:pStyle w:val="Sinespaciado"/>
        <w:ind w:right="-93"/>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B2177C">
      <w:pPr>
        <w:pStyle w:val="Sinespaciado"/>
        <w:ind w:right="-93"/>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B2177C">
      <w:pPr>
        <w:pStyle w:val="Sinespaciado"/>
        <w:ind w:right="-93"/>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2177C">
      <w:pPr>
        <w:pStyle w:val="Sinespaciado"/>
        <w:ind w:right="-93"/>
        <w:rPr>
          <w:rFonts w:ascii="Arial" w:hAnsi="Arial" w:cs="Arial"/>
          <w:lang w:val="es-MX"/>
        </w:rPr>
      </w:pPr>
    </w:p>
    <w:p w14:paraId="6CAD3A0A" w14:textId="77777777" w:rsidR="00B713D2" w:rsidRPr="001F2D25" w:rsidRDefault="002971BC" w:rsidP="00B2177C">
      <w:pPr>
        <w:pStyle w:val="Sinespaciado"/>
        <w:pBdr>
          <w:top w:val="dashSmallGap" w:sz="4" w:space="1" w:color="auto"/>
          <w:left w:val="dashSmallGap" w:sz="4" w:space="4" w:color="auto"/>
          <w:bottom w:val="dashSmallGap" w:sz="4" w:space="1" w:color="auto"/>
          <w:right w:val="dashSmallGap" w:sz="4" w:space="4" w:color="auto"/>
        </w:pBdr>
        <w:ind w:right="-93"/>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2177C">
      <w:pPr>
        <w:pStyle w:val="Sinespaciado"/>
        <w:pBdr>
          <w:top w:val="dashSmallGap" w:sz="4" w:space="1" w:color="auto"/>
          <w:left w:val="dashSmallGap" w:sz="4" w:space="4" w:color="auto"/>
          <w:bottom w:val="dashSmallGap" w:sz="4" w:space="1" w:color="auto"/>
          <w:right w:val="dashSmallGap" w:sz="4" w:space="4" w:color="auto"/>
        </w:pBdr>
        <w:ind w:right="-93"/>
        <w:rPr>
          <w:rFonts w:ascii="Arial" w:hAnsi="Arial" w:cs="Arial"/>
          <w:lang w:val="es-MX"/>
        </w:rPr>
      </w:pPr>
    </w:p>
    <w:p w14:paraId="11EC29D7" w14:textId="77777777" w:rsidR="00E031FD" w:rsidRPr="001F2D25" w:rsidRDefault="00E031FD" w:rsidP="00B2177C">
      <w:pPr>
        <w:pStyle w:val="Sinespaciado"/>
        <w:pBdr>
          <w:top w:val="dashSmallGap" w:sz="4" w:space="1" w:color="auto"/>
          <w:left w:val="dashSmallGap" w:sz="4" w:space="4" w:color="auto"/>
          <w:bottom w:val="dashSmallGap" w:sz="4" w:space="1" w:color="auto"/>
          <w:right w:val="dashSmallGap" w:sz="4" w:space="4" w:color="auto"/>
        </w:pBdr>
        <w:ind w:right="-93"/>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2177C">
      <w:pPr>
        <w:pStyle w:val="Sinespaciado"/>
        <w:pBdr>
          <w:top w:val="dashSmallGap" w:sz="4" w:space="1" w:color="auto"/>
          <w:left w:val="dashSmallGap" w:sz="4" w:space="4" w:color="auto"/>
          <w:bottom w:val="dashSmallGap" w:sz="4" w:space="1" w:color="auto"/>
          <w:right w:val="dashSmallGap" w:sz="4" w:space="4" w:color="auto"/>
        </w:pBdr>
        <w:ind w:right="-93"/>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2177C">
      <w:pPr>
        <w:pStyle w:val="Sinespaciado"/>
        <w:ind w:right="-93"/>
        <w:rPr>
          <w:rFonts w:ascii="Arial" w:hAnsi="Arial" w:cs="Arial"/>
          <w:b/>
          <w:sz w:val="24"/>
          <w:szCs w:val="24"/>
          <w:lang w:val="es-MX"/>
        </w:rPr>
      </w:pPr>
    </w:p>
    <w:p w14:paraId="3177E44A" w14:textId="4D9C4B88" w:rsidR="00B713D2" w:rsidRPr="00347F8D" w:rsidRDefault="00ED4ECD" w:rsidP="00B2177C">
      <w:pPr>
        <w:pStyle w:val="Sinespaciado"/>
        <w:ind w:left="-1134" w:right="-93"/>
        <w:rPr>
          <w:rFonts w:ascii="Arial" w:hAnsi="Arial" w:cs="Arial"/>
          <w:color w:val="FF0000"/>
          <w:lang w:val="es-MX"/>
        </w:rPr>
      </w:pPr>
      <w:r w:rsidRPr="001F2D25">
        <w:rPr>
          <w:rFonts w:ascii="Arial" w:eastAsia="Calibri" w:hAnsi="Arial" w:cs="Arial"/>
          <w:lang w:val="es-MX"/>
        </w:rPr>
        <w:t>Elaborada por:</w:t>
      </w:r>
      <w:r w:rsidR="00347F8D">
        <w:rPr>
          <w:rFonts w:ascii="Arial" w:eastAsia="Calibri" w:hAnsi="Arial" w:cs="Arial"/>
          <w:lang w:val="es-MX"/>
        </w:rPr>
        <w:t xml:space="preserve"> </w:t>
      </w:r>
      <w:r w:rsidR="00347F8D" w:rsidRPr="00347F8D">
        <w:rPr>
          <w:rFonts w:ascii="Arial" w:eastAsia="Calibri" w:hAnsi="Arial" w:cs="Arial"/>
          <w:color w:val="FF0000"/>
          <w:lang w:val="es-MX"/>
        </w:rPr>
        <w:t xml:space="preserve">Lizeth Johana Córdoba Guzmán </w:t>
      </w:r>
    </w:p>
    <w:p w14:paraId="5F7DBDD4" w14:textId="381F7CA6" w:rsidR="00ED4ECD" w:rsidRPr="001F2D25" w:rsidRDefault="00B713D2" w:rsidP="00B2177C">
      <w:pPr>
        <w:pStyle w:val="Sinespaciado"/>
        <w:ind w:left="-1134" w:right="-93"/>
        <w:rPr>
          <w:rFonts w:ascii="Arial" w:hAnsi="Arial" w:cs="Arial"/>
          <w:lang w:val="es-MX"/>
        </w:rPr>
      </w:pPr>
      <w:r w:rsidRPr="001F2D25">
        <w:rPr>
          <w:rFonts w:ascii="Arial" w:hAnsi="Arial" w:cs="Arial"/>
          <w:lang w:val="es-MX"/>
        </w:rPr>
        <w:t xml:space="preserve">Fecha: </w:t>
      </w:r>
      <w:r w:rsidR="00347F8D" w:rsidRPr="00347F8D">
        <w:rPr>
          <w:rFonts w:ascii="Arial" w:hAnsi="Arial" w:cs="Arial"/>
          <w:color w:val="FF0000"/>
          <w:lang w:val="es-MX"/>
        </w:rPr>
        <w:t>02 de septiembre de 2021</w:t>
      </w:r>
      <w:r w:rsidRPr="00347F8D">
        <w:rPr>
          <w:rFonts w:ascii="Arial" w:hAnsi="Arial" w:cs="Arial"/>
          <w:color w:val="FF0000"/>
          <w:lang w:val="es-MX"/>
        </w:rPr>
        <w:t xml:space="preserve">  </w:t>
      </w:r>
    </w:p>
    <w:p w14:paraId="75E84AC6" w14:textId="588D314E" w:rsidR="00ED4ECD" w:rsidRPr="001F2D25" w:rsidRDefault="00B713D2" w:rsidP="00B2177C">
      <w:pPr>
        <w:pStyle w:val="Sinespaciado"/>
        <w:ind w:left="-1134" w:right="-93"/>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502E46" w:rsidRPr="00502E46">
        <w:rPr>
          <w:rFonts w:ascii="Arial" w:hAnsi="Arial" w:cs="Arial"/>
          <w:color w:val="FF0000"/>
          <w:lang w:val="es-MX"/>
        </w:rPr>
        <w:t>nulidad y restablecimiento del derecho</w:t>
      </w:r>
    </w:p>
    <w:p w14:paraId="6B89892F" w14:textId="1DD2FF90" w:rsidR="00B713D2" w:rsidRPr="001F2D25" w:rsidRDefault="00B713D2" w:rsidP="00B2177C">
      <w:pPr>
        <w:pStyle w:val="Sinespaciado"/>
        <w:ind w:left="-1134" w:right="-93"/>
        <w:rPr>
          <w:rFonts w:ascii="Arial" w:hAnsi="Arial" w:cs="Arial"/>
          <w:lang w:val="es-MX"/>
        </w:rPr>
      </w:pPr>
      <w:r w:rsidRPr="001F2D25">
        <w:rPr>
          <w:rFonts w:ascii="Arial" w:hAnsi="Arial" w:cs="Arial"/>
          <w:lang w:val="es-MX"/>
        </w:rPr>
        <w:t>Demandante:</w:t>
      </w:r>
      <w:r w:rsidR="00502E46">
        <w:rPr>
          <w:rFonts w:ascii="Arial" w:hAnsi="Arial" w:cs="Arial"/>
          <w:lang w:val="es-MX"/>
        </w:rPr>
        <w:t xml:space="preserve"> </w:t>
      </w:r>
      <w:r w:rsidR="00502E46" w:rsidRPr="00502E46">
        <w:rPr>
          <w:rFonts w:ascii="Arial" w:hAnsi="Arial" w:cs="Arial"/>
          <w:color w:val="FF0000"/>
          <w:lang w:val="es-MX"/>
        </w:rPr>
        <w:t>Francia Sirley Valencia Vergara</w:t>
      </w:r>
    </w:p>
    <w:p w14:paraId="1660C8A3" w14:textId="2259C80F" w:rsidR="00B713D2" w:rsidRPr="00502E46" w:rsidRDefault="00B713D2" w:rsidP="00B2177C">
      <w:pPr>
        <w:pStyle w:val="Sinespaciado"/>
        <w:ind w:left="-1134" w:right="-93"/>
        <w:rPr>
          <w:rFonts w:ascii="Arial" w:hAnsi="Arial" w:cs="Arial"/>
          <w:color w:val="FF0000"/>
          <w:lang w:val="es-MX"/>
        </w:rPr>
      </w:pPr>
      <w:r w:rsidRPr="001F2D25">
        <w:rPr>
          <w:rFonts w:ascii="Arial" w:hAnsi="Arial" w:cs="Arial"/>
          <w:lang w:val="es-MX"/>
        </w:rPr>
        <w:t>Demandado:</w:t>
      </w:r>
      <w:r w:rsidR="00502E46">
        <w:rPr>
          <w:rFonts w:ascii="Arial" w:hAnsi="Arial" w:cs="Arial"/>
          <w:lang w:val="es-MX"/>
        </w:rPr>
        <w:t xml:space="preserve"> </w:t>
      </w:r>
      <w:r w:rsidR="00502E46" w:rsidRPr="00502E46">
        <w:rPr>
          <w:rFonts w:ascii="Arial" w:hAnsi="Arial" w:cs="Arial"/>
          <w:color w:val="FF0000"/>
          <w:lang w:val="es-MX"/>
        </w:rPr>
        <w:t xml:space="preserve">Nación- Ministerio de Educación – Fondo Nacional de Prestaciones Sociales del Magisterio. </w:t>
      </w:r>
    </w:p>
    <w:p w14:paraId="19FDD2BC" w14:textId="77777777" w:rsidR="00B713D2" w:rsidRPr="001F2D25" w:rsidRDefault="00B713D2" w:rsidP="00B2177C">
      <w:pPr>
        <w:pStyle w:val="Sinespaciado"/>
        <w:ind w:left="-1134" w:right="-93"/>
        <w:rPr>
          <w:rFonts w:ascii="Arial" w:hAnsi="Arial" w:cs="Arial"/>
          <w:lang w:val="es-MX"/>
        </w:rPr>
      </w:pPr>
    </w:p>
    <w:p w14:paraId="398A2EA5" w14:textId="77777777" w:rsidR="00B713D2" w:rsidRPr="001F2D25" w:rsidRDefault="00B713D2" w:rsidP="00B2177C">
      <w:pPr>
        <w:pStyle w:val="Sinespaciado"/>
        <w:ind w:left="-1134" w:right="-93"/>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B2177C">
            <w:pPr>
              <w:pStyle w:val="Sinespaciado"/>
              <w:ind w:left="27" w:right="-93"/>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2177C">
            <w:pPr>
              <w:pStyle w:val="Sinespaciado"/>
              <w:ind w:right="-93"/>
              <w:rPr>
                <w:rFonts w:ascii="Arial" w:eastAsia="Calibri" w:hAnsi="Arial" w:cs="Arial"/>
                <w:lang w:val="es-MX"/>
              </w:rPr>
            </w:pPr>
          </w:p>
          <w:p w14:paraId="731519A5" w14:textId="77777777" w:rsidR="00222D4A" w:rsidRPr="001F2D25" w:rsidRDefault="002971BC" w:rsidP="00B2177C">
            <w:pPr>
              <w:pStyle w:val="Sinespaciado"/>
              <w:ind w:right="-93"/>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B2177C">
            <w:pPr>
              <w:pStyle w:val="Sinespaciado"/>
              <w:ind w:right="-93"/>
              <w:rPr>
                <w:rFonts w:ascii="Arial" w:eastAsia="Calibri" w:hAnsi="Arial" w:cs="Arial"/>
                <w:lang w:val="es-MX"/>
              </w:rPr>
            </w:pPr>
          </w:p>
          <w:p w14:paraId="257D063B" w14:textId="7962AF3E" w:rsidR="00FE6B43" w:rsidRDefault="00E377AA" w:rsidP="00B2177C">
            <w:pPr>
              <w:pStyle w:val="Sinespaciado"/>
              <w:ind w:right="-93"/>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59E9D076" w14:textId="79EF3148" w:rsidR="00A274E9" w:rsidRDefault="00A274E9" w:rsidP="00B2177C">
            <w:pPr>
              <w:pStyle w:val="Sinespaciado"/>
              <w:ind w:right="-93"/>
              <w:rPr>
                <w:rFonts w:ascii="Arial" w:eastAsia="Calibri" w:hAnsi="Arial" w:cs="Arial"/>
                <w:lang w:val="es-MX"/>
              </w:rPr>
            </w:pPr>
          </w:p>
          <w:p w14:paraId="68427F01" w14:textId="797E8D8C" w:rsidR="00A274E9" w:rsidRPr="00A274E9" w:rsidRDefault="00A274E9" w:rsidP="00A274E9">
            <w:pPr>
              <w:pStyle w:val="Sinespaciado"/>
              <w:ind w:right="-93"/>
              <w:jc w:val="both"/>
              <w:rPr>
                <w:rFonts w:ascii="Arial" w:eastAsia="Calibri" w:hAnsi="Arial" w:cs="Arial"/>
                <w:color w:val="FF0000"/>
                <w:lang w:val="es-MX"/>
              </w:rPr>
            </w:pPr>
            <w:r w:rsidRPr="00A274E9">
              <w:rPr>
                <w:rFonts w:ascii="Arial" w:eastAsia="Calibri" w:hAnsi="Arial" w:cs="Arial"/>
                <w:color w:val="FF0000"/>
                <w:lang w:val="es-MX"/>
              </w:rPr>
              <w:t xml:space="preserve">En el presente asunto ya se resolvieron la </w:t>
            </w:r>
            <w:r>
              <w:rPr>
                <w:rFonts w:ascii="Arial" w:eastAsia="Calibri" w:hAnsi="Arial" w:cs="Arial"/>
                <w:color w:val="FF0000"/>
                <w:lang w:val="es-MX"/>
              </w:rPr>
              <w:t>excepción previa propuesta por la entidad demandada,</w:t>
            </w:r>
            <w:r w:rsidRPr="00A274E9">
              <w:rPr>
                <w:rFonts w:ascii="Arial" w:eastAsia="Calibri" w:hAnsi="Arial" w:cs="Arial"/>
                <w:color w:val="FF0000"/>
                <w:lang w:val="es-MX"/>
              </w:rPr>
              <w:t xml:space="preserve"> mediante auto que se encuentra en firme</w:t>
            </w:r>
            <w:r>
              <w:rPr>
                <w:rFonts w:ascii="Arial" w:eastAsia="Calibri" w:hAnsi="Arial" w:cs="Arial"/>
                <w:color w:val="FF0000"/>
                <w:lang w:val="es-MX"/>
              </w:rPr>
              <w:t xml:space="preserve">, </w:t>
            </w:r>
            <w:r w:rsidRPr="00A274E9">
              <w:rPr>
                <w:rFonts w:ascii="Arial" w:eastAsia="Calibri" w:hAnsi="Arial" w:cs="Arial"/>
                <w:color w:val="FF0000"/>
                <w:lang w:val="es-MX"/>
              </w:rPr>
              <w:t xml:space="preserve">y no se advierte incumplimiento de requisitos de procedibilidad. </w:t>
            </w:r>
          </w:p>
          <w:p w14:paraId="4864C69F" w14:textId="77777777" w:rsidR="00222D4A" w:rsidRPr="00A274E9" w:rsidRDefault="00222D4A" w:rsidP="00B2177C">
            <w:pPr>
              <w:pStyle w:val="Sinespaciado"/>
              <w:ind w:right="-93"/>
              <w:rPr>
                <w:rFonts w:ascii="Arial" w:eastAsia="Calibri" w:hAnsi="Arial" w:cs="Arial"/>
                <w:color w:val="FF0000"/>
                <w:lang w:val="es-MX"/>
              </w:rPr>
            </w:pPr>
          </w:p>
          <w:p w14:paraId="5D249CA6" w14:textId="77777777" w:rsidR="00222D4A" w:rsidRPr="001F2D25" w:rsidRDefault="00222D4A" w:rsidP="00B2177C">
            <w:pPr>
              <w:pStyle w:val="Sinespaciado"/>
              <w:ind w:right="-93"/>
              <w:rPr>
                <w:rFonts w:ascii="Arial" w:eastAsia="Calibri" w:hAnsi="Arial" w:cs="Arial"/>
                <w:lang w:val="es-MX"/>
              </w:rPr>
            </w:pPr>
          </w:p>
          <w:p w14:paraId="609A72CE" w14:textId="77777777" w:rsidR="00823B31" w:rsidRPr="00306339" w:rsidRDefault="00245C3E" w:rsidP="00B2177C">
            <w:pPr>
              <w:ind w:right="-93"/>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B2177C">
            <w:pPr>
              <w:pStyle w:val="Sinespaciado"/>
              <w:numPr>
                <w:ilvl w:val="0"/>
                <w:numId w:val="2"/>
              </w:numPr>
              <w:ind w:left="27" w:right="-93"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B2177C">
            <w:pPr>
              <w:pStyle w:val="Sinespaciado"/>
              <w:ind w:right="-93"/>
              <w:rPr>
                <w:rFonts w:ascii="Arial" w:eastAsia="Calibri" w:hAnsi="Arial" w:cs="Arial"/>
                <w:lang w:val="es-MX"/>
              </w:rPr>
            </w:pPr>
          </w:p>
          <w:p w14:paraId="4CC8C344" w14:textId="77777777" w:rsidR="004C270A" w:rsidRPr="001F2D25" w:rsidRDefault="00341FFF" w:rsidP="00B2177C">
            <w:pPr>
              <w:pStyle w:val="Sinespaciado"/>
              <w:ind w:right="-93"/>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47FB40AF" w:rsidR="00341FFF" w:rsidRPr="001F2D25" w:rsidRDefault="00341FFF" w:rsidP="00B2177C">
            <w:pPr>
              <w:pStyle w:val="Sinespaciado"/>
              <w:ind w:right="-93"/>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1" locked="0" layoutInCell="1" allowOverlap="1" wp14:anchorId="7611BAD8" wp14:editId="6AB0921E">
                      <wp:simplePos x="0" y="0"/>
                      <wp:positionH relativeFrom="column">
                        <wp:posOffset>3485957</wp:posOffset>
                      </wp:positionH>
                      <wp:positionV relativeFrom="paragraph">
                        <wp:posOffset>155962</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504AA" id="Rectángulo 5" o:spid="_x0000_s1026" style="position:absolute;margin-left:274.5pt;margin-top:12.3pt;width:19.7pt;height:1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" fillcolor="white [3201]" strokecolor="#70ad47 [3209]" strokeweight="1pt"/>
                  </w:pict>
                </mc:Fallback>
              </mc:AlternateContent>
            </w:r>
          </w:p>
          <w:p w14:paraId="5BD0EBF6" w14:textId="10492942" w:rsidR="00341FFF" w:rsidRPr="001F2D25" w:rsidRDefault="00341FFF" w:rsidP="00B2177C">
            <w:pPr>
              <w:pStyle w:val="Sinespaciado"/>
              <w:ind w:left="708" w:right="-93"/>
              <w:jc w:val="both"/>
              <w:rPr>
                <w:rFonts w:ascii="Arial" w:hAnsi="Arial" w:cs="Arial"/>
                <w:i/>
              </w:rPr>
            </w:pPr>
            <w:r w:rsidRPr="001F2D25">
              <w:rPr>
                <w:rFonts w:ascii="Arial" w:hAnsi="Arial" w:cs="Arial"/>
                <w:b/>
                <w:i/>
              </w:rPr>
              <w:t>a</w:t>
            </w:r>
            <w:r w:rsidRPr="001F2D25">
              <w:rPr>
                <w:rFonts w:ascii="Arial" w:hAnsi="Arial" w:cs="Arial"/>
                <w:i/>
              </w:rPr>
              <w:t>) Cuando se trate de asuntos de puro derecho;</w:t>
            </w:r>
            <w:r w:rsidR="00347F8D">
              <w:rPr>
                <w:rFonts w:ascii="Arial" w:hAnsi="Arial" w:cs="Arial"/>
                <w:i/>
              </w:rPr>
              <w:t xml:space="preserve">    </w:t>
            </w:r>
            <w:r w:rsidRPr="001F2D25">
              <w:rPr>
                <w:rFonts w:ascii="Arial" w:hAnsi="Arial" w:cs="Arial"/>
                <w:i/>
              </w:rPr>
              <w:t xml:space="preserve">  </w:t>
            </w:r>
          </w:p>
          <w:p w14:paraId="78F92171" w14:textId="5141D173" w:rsidR="00306339" w:rsidRDefault="00306339" w:rsidP="00B2177C">
            <w:pPr>
              <w:pStyle w:val="Sinespaciado"/>
              <w:ind w:left="708" w:right="-93"/>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426BD39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BEE34"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16456C8B" w:rsidR="00341FFF" w:rsidRPr="001F2D25" w:rsidRDefault="00341FFF" w:rsidP="00B2177C">
            <w:pPr>
              <w:pStyle w:val="Sinespaciado"/>
              <w:ind w:left="708" w:right="-93"/>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B2177C">
            <w:pPr>
              <w:pStyle w:val="Sinespaciado"/>
              <w:ind w:left="708" w:right="-93"/>
              <w:jc w:val="both"/>
              <w:rPr>
                <w:rFonts w:ascii="Arial" w:hAnsi="Arial" w:cs="Arial"/>
                <w:b/>
                <w:bCs/>
                <w:i/>
              </w:rPr>
            </w:pPr>
          </w:p>
          <w:p w14:paraId="04CA110E" w14:textId="1BC9BBD4" w:rsidR="00341FFF" w:rsidRPr="001F2D25" w:rsidRDefault="00341FFF" w:rsidP="00B2177C">
            <w:pPr>
              <w:pStyle w:val="Sinespaciado"/>
              <w:ind w:left="708" w:right="-93"/>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1" locked="0" layoutInCell="1" allowOverlap="1" wp14:anchorId="592904FA" wp14:editId="7BCAE6CF">
                      <wp:simplePos x="0" y="0"/>
                      <wp:positionH relativeFrom="column">
                        <wp:posOffset>1609449</wp:posOffset>
                      </wp:positionH>
                      <wp:positionV relativeFrom="paragraph">
                        <wp:posOffset>322746</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57A8E" id="Rectángulo 15" o:spid="_x0000_s1026" style="position:absolute;margin-left:126.75pt;margin-top:25.4pt;width:19.7pt;height:1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w:t>
            </w:r>
            <w:proofErr w:type="gramStart"/>
            <w:r w:rsidRPr="001F2D25">
              <w:rPr>
                <w:rFonts w:ascii="Arial" w:hAnsi="Arial" w:cs="Arial"/>
                <w:i/>
              </w:rPr>
              <w:t>desconocimiento;  </w:t>
            </w:r>
            <w:r w:rsidR="00502E46">
              <w:rPr>
                <w:rFonts w:ascii="Arial" w:hAnsi="Arial" w:cs="Arial"/>
                <w:i/>
              </w:rPr>
              <w:t xml:space="preserve"> </w:t>
            </w:r>
            <w:proofErr w:type="gramEnd"/>
            <w:r w:rsidR="00502E46" w:rsidRPr="00502E46">
              <w:rPr>
                <w:rFonts w:ascii="Arial" w:hAnsi="Arial" w:cs="Arial"/>
                <w:i/>
                <w:color w:val="FF0000"/>
              </w:rPr>
              <w:t xml:space="preserve"> </w:t>
            </w:r>
            <w:r w:rsidR="00A274E9">
              <w:rPr>
                <w:rFonts w:ascii="Arial" w:hAnsi="Arial" w:cs="Arial"/>
                <w:i/>
                <w:color w:val="FF0000"/>
              </w:rPr>
              <w:t>X</w:t>
            </w:r>
          </w:p>
          <w:p w14:paraId="56FCF477" w14:textId="77777777" w:rsidR="00306339" w:rsidRDefault="00306339" w:rsidP="00B2177C">
            <w:pPr>
              <w:pStyle w:val="Sinespaciado"/>
              <w:ind w:left="720" w:right="-93"/>
              <w:rPr>
                <w:rFonts w:ascii="Arial" w:hAnsi="Arial" w:cs="Arial"/>
                <w:b/>
                <w:bCs/>
                <w:i/>
              </w:rPr>
            </w:pPr>
          </w:p>
          <w:p w14:paraId="413B63C7" w14:textId="77777777" w:rsidR="00341FFF" w:rsidRPr="001F2D25" w:rsidRDefault="00341FFF" w:rsidP="00B2177C">
            <w:pPr>
              <w:pStyle w:val="Sinespaciado"/>
              <w:ind w:left="720" w:right="-93"/>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B2177C">
            <w:pPr>
              <w:pStyle w:val="Sinespaciado"/>
              <w:ind w:right="-93"/>
              <w:rPr>
                <w:rFonts w:ascii="Arial" w:eastAsia="Calibri" w:hAnsi="Arial" w:cs="Arial"/>
                <w:lang w:val="es-MX"/>
              </w:rPr>
            </w:pPr>
          </w:p>
          <w:p w14:paraId="3D814DA0" w14:textId="77777777" w:rsidR="00341FFF" w:rsidRPr="001F2D25" w:rsidRDefault="00341FFF" w:rsidP="00B2177C">
            <w:pPr>
              <w:pStyle w:val="Sinespaciado"/>
              <w:ind w:right="-93"/>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B2177C">
            <w:pPr>
              <w:pStyle w:val="Sinespaciado"/>
              <w:ind w:right="-93"/>
              <w:jc w:val="both"/>
              <w:rPr>
                <w:rFonts w:ascii="Arial" w:eastAsia="Calibri" w:hAnsi="Arial" w:cs="Arial"/>
                <w:lang w:val="es-MX"/>
              </w:rPr>
            </w:pPr>
          </w:p>
          <w:p w14:paraId="218AF9AE" w14:textId="77777777" w:rsidR="00407892" w:rsidRPr="001F2D25" w:rsidRDefault="00341FFF" w:rsidP="00B2177C">
            <w:pPr>
              <w:pStyle w:val="Sinespaciado"/>
              <w:numPr>
                <w:ilvl w:val="0"/>
                <w:numId w:val="12"/>
              </w:numPr>
              <w:ind w:right="-93"/>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B2177C">
            <w:pPr>
              <w:pStyle w:val="Sinespaciado"/>
              <w:numPr>
                <w:ilvl w:val="0"/>
                <w:numId w:val="12"/>
              </w:numPr>
              <w:ind w:right="-93"/>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B2177C">
            <w:pPr>
              <w:pStyle w:val="Sinespaciado"/>
              <w:ind w:right="-93"/>
              <w:jc w:val="both"/>
              <w:rPr>
                <w:rFonts w:ascii="Arial" w:eastAsia="Calibri" w:hAnsi="Arial" w:cs="Arial"/>
                <w:lang w:val="es-MX"/>
              </w:rPr>
            </w:pPr>
          </w:p>
          <w:p w14:paraId="50182DBC" w14:textId="77777777" w:rsidR="00D75A67" w:rsidRPr="001F2D25" w:rsidRDefault="00D75A67" w:rsidP="00B2177C">
            <w:pPr>
              <w:pStyle w:val="Sinespaciado"/>
              <w:ind w:right="-93"/>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B2177C">
            <w:pPr>
              <w:pStyle w:val="Sinespaciado"/>
              <w:ind w:right="-93"/>
              <w:jc w:val="both"/>
              <w:rPr>
                <w:rFonts w:ascii="Arial" w:eastAsia="Calibri" w:hAnsi="Arial" w:cs="Arial"/>
                <w:lang w:val="es-MX"/>
              </w:rPr>
            </w:pPr>
          </w:p>
          <w:p w14:paraId="5F28925A" w14:textId="77777777" w:rsidR="00D75A67" w:rsidRPr="001F2D25" w:rsidRDefault="00D75A67" w:rsidP="00B2177C">
            <w:pPr>
              <w:pStyle w:val="Sinespaciado"/>
              <w:numPr>
                <w:ilvl w:val="0"/>
                <w:numId w:val="12"/>
              </w:numPr>
              <w:ind w:right="-93"/>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B2177C">
            <w:pPr>
              <w:pStyle w:val="Sinespaciado"/>
              <w:ind w:left="720" w:right="-93"/>
              <w:jc w:val="both"/>
              <w:rPr>
                <w:rFonts w:ascii="Arial" w:eastAsia="Calibri" w:hAnsi="Arial" w:cs="Arial"/>
                <w:lang w:val="es-MX"/>
              </w:rPr>
            </w:pPr>
          </w:p>
          <w:p w14:paraId="75D8F0E7" w14:textId="77777777" w:rsidR="00D75A67" w:rsidRPr="001F2D25" w:rsidRDefault="00D75A67" w:rsidP="00B2177C">
            <w:pPr>
              <w:pStyle w:val="Sinespaciado"/>
              <w:numPr>
                <w:ilvl w:val="0"/>
                <w:numId w:val="12"/>
              </w:numPr>
              <w:ind w:right="-93"/>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B2177C">
            <w:pPr>
              <w:pStyle w:val="Sinespaciado"/>
              <w:ind w:right="-93"/>
              <w:jc w:val="both"/>
              <w:rPr>
                <w:rFonts w:ascii="Arial" w:eastAsia="Calibri" w:hAnsi="Arial" w:cs="Arial"/>
                <w:lang w:val="es-MX"/>
              </w:rPr>
            </w:pPr>
          </w:p>
          <w:p w14:paraId="4CC0D3BC" w14:textId="77777777" w:rsidR="005C690E" w:rsidRPr="001F2D25" w:rsidRDefault="005C690E" w:rsidP="00B2177C">
            <w:pPr>
              <w:pStyle w:val="Sinespaciado"/>
              <w:numPr>
                <w:ilvl w:val="0"/>
                <w:numId w:val="12"/>
              </w:numPr>
              <w:ind w:right="-93"/>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B2177C">
            <w:pPr>
              <w:pStyle w:val="Sinespaciado"/>
              <w:ind w:right="-93"/>
              <w:rPr>
                <w:rFonts w:ascii="Arial" w:eastAsia="Calibri" w:hAnsi="Arial" w:cs="Arial"/>
                <w:lang w:val="es-MX"/>
              </w:rPr>
            </w:pPr>
          </w:p>
          <w:p w14:paraId="1AA2998E" w14:textId="77777777" w:rsidR="00A461DF" w:rsidRPr="001F2D25" w:rsidRDefault="00CF03D9" w:rsidP="00B2177C">
            <w:pPr>
              <w:pStyle w:val="Sinespaciado"/>
              <w:ind w:right="-93"/>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B2177C">
            <w:pPr>
              <w:ind w:right="-93"/>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B2177C">
            <w:pPr>
              <w:pStyle w:val="Sinespaciado"/>
              <w:numPr>
                <w:ilvl w:val="0"/>
                <w:numId w:val="2"/>
              </w:numPr>
              <w:ind w:right="-93"/>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B2177C">
            <w:pPr>
              <w:pStyle w:val="Sinespaciado"/>
              <w:ind w:right="-93"/>
              <w:rPr>
                <w:rFonts w:ascii="Arial" w:eastAsia="Calibri" w:hAnsi="Arial" w:cs="Arial"/>
                <w:b/>
                <w:lang w:val="es-MX"/>
              </w:rPr>
            </w:pPr>
          </w:p>
          <w:p w14:paraId="5E12F73F" w14:textId="77777777" w:rsidR="00F87F52" w:rsidRPr="001F2D25" w:rsidRDefault="00F87F52" w:rsidP="00B2177C">
            <w:pPr>
              <w:pStyle w:val="Sinespaciado"/>
              <w:ind w:right="-93"/>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B2177C">
            <w:pPr>
              <w:pStyle w:val="Sinespaciado"/>
              <w:ind w:right="-93"/>
              <w:rPr>
                <w:rFonts w:ascii="Arial" w:eastAsia="Calibri" w:hAnsi="Arial" w:cs="Arial"/>
                <w:lang w:val="es-MX"/>
              </w:rPr>
            </w:pPr>
          </w:p>
          <w:p w14:paraId="68E3D213" w14:textId="77777777" w:rsidR="00F87F52" w:rsidRPr="001F2D25" w:rsidRDefault="00F87F52" w:rsidP="00B2177C">
            <w:pPr>
              <w:pStyle w:val="Sinespaciado"/>
              <w:ind w:right="-93"/>
              <w:rPr>
                <w:rFonts w:ascii="Arial" w:eastAsia="Calibri" w:hAnsi="Arial" w:cs="Arial"/>
                <w:lang w:val="es-MX"/>
              </w:rPr>
            </w:pPr>
          </w:p>
          <w:p w14:paraId="06FF1240" w14:textId="77777777" w:rsidR="00926ADA" w:rsidRPr="001F2D25" w:rsidRDefault="00DE6DCB" w:rsidP="00B2177C">
            <w:pPr>
              <w:pStyle w:val="Sinespaciado"/>
              <w:ind w:right="-93"/>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B2177C">
            <w:pPr>
              <w:pStyle w:val="Sinespaciado"/>
              <w:ind w:right="-93"/>
              <w:rPr>
                <w:rFonts w:ascii="Arial" w:eastAsia="Calibri" w:hAnsi="Arial" w:cs="Arial"/>
                <w:lang w:val="es-MX"/>
              </w:rPr>
            </w:pPr>
          </w:p>
          <w:p w14:paraId="7D53FAAC" w14:textId="77777777" w:rsidR="00DE6DCB" w:rsidRPr="001F2D25" w:rsidRDefault="00DE6DCB" w:rsidP="00B2177C">
            <w:pPr>
              <w:pStyle w:val="Sinespaciado"/>
              <w:numPr>
                <w:ilvl w:val="0"/>
                <w:numId w:val="14"/>
              </w:numPr>
              <w:ind w:right="-93"/>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B2177C">
            <w:pPr>
              <w:pStyle w:val="Sinespaciado"/>
              <w:ind w:left="720" w:right="-93"/>
              <w:jc w:val="both"/>
              <w:rPr>
                <w:rFonts w:ascii="Arial" w:hAnsi="Arial" w:cs="Arial"/>
                <w:iCs/>
              </w:rPr>
            </w:pPr>
          </w:p>
          <w:p w14:paraId="2342A1B9" w14:textId="77777777" w:rsidR="00DE6DCB" w:rsidRPr="001F2D25" w:rsidRDefault="00DE6DCB" w:rsidP="00B2177C">
            <w:pPr>
              <w:pStyle w:val="Sinespaciado"/>
              <w:numPr>
                <w:ilvl w:val="0"/>
                <w:numId w:val="14"/>
              </w:numPr>
              <w:ind w:right="-93"/>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B2177C">
            <w:pPr>
              <w:pStyle w:val="Sinespaciado"/>
              <w:ind w:left="720" w:right="-93"/>
              <w:jc w:val="both"/>
              <w:rPr>
                <w:rFonts w:ascii="Arial" w:hAnsi="Arial" w:cs="Arial"/>
                <w:iCs/>
              </w:rPr>
            </w:pPr>
          </w:p>
          <w:p w14:paraId="797E7F8F" w14:textId="77777777" w:rsidR="00DE6DCB" w:rsidRPr="001F2D25" w:rsidRDefault="00DE6DCB" w:rsidP="00B2177C">
            <w:pPr>
              <w:pStyle w:val="Sinespaciado"/>
              <w:numPr>
                <w:ilvl w:val="0"/>
                <w:numId w:val="14"/>
              </w:numPr>
              <w:ind w:right="-93"/>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B2177C">
            <w:pPr>
              <w:pStyle w:val="Sinespaciado"/>
              <w:ind w:left="720" w:right="-93"/>
              <w:jc w:val="both"/>
              <w:rPr>
                <w:rFonts w:ascii="Arial" w:hAnsi="Arial" w:cs="Arial"/>
                <w:iCs/>
              </w:rPr>
            </w:pPr>
          </w:p>
          <w:p w14:paraId="1CBDEE54" w14:textId="77777777" w:rsidR="00DE6DCB" w:rsidRPr="001F2D25" w:rsidRDefault="00DE6DCB" w:rsidP="00B2177C">
            <w:pPr>
              <w:pStyle w:val="Sinespaciado"/>
              <w:numPr>
                <w:ilvl w:val="0"/>
                <w:numId w:val="14"/>
              </w:numPr>
              <w:ind w:right="-93"/>
              <w:jc w:val="both"/>
              <w:rPr>
                <w:rFonts w:ascii="Arial" w:hAnsi="Arial" w:cs="Arial"/>
                <w:iCs/>
              </w:rPr>
            </w:pPr>
            <w:r w:rsidRPr="001F2D25">
              <w:rPr>
                <w:rFonts w:ascii="Arial" w:hAnsi="Arial" w:cs="Arial"/>
                <w:iCs/>
              </w:rPr>
              <w:lastRenderedPageBreak/>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B2177C">
            <w:pPr>
              <w:pStyle w:val="Prrafodelista"/>
              <w:ind w:right="-93"/>
              <w:rPr>
                <w:rFonts w:ascii="Arial" w:hAnsi="Arial" w:cs="Arial"/>
                <w:iCs/>
              </w:rPr>
            </w:pPr>
          </w:p>
          <w:p w14:paraId="10F15ABB" w14:textId="77777777" w:rsidR="00DE6DCB" w:rsidRPr="001F2D25" w:rsidRDefault="00DE6DCB" w:rsidP="00B2177C">
            <w:pPr>
              <w:pStyle w:val="Sinespaciado"/>
              <w:numPr>
                <w:ilvl w:val="0"/>
                <w:numId w:val="14"/>
              </w:numPr>
              <w:ind w:right="-93"/>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B2177C">
            <w:pPr>
              <w:pStyle w:val="Sinespaciado"/>
              <w:ind w:right="-93"/>
              <w:rPr>
                <w:rFonts w:ascii="Arial" w:eastAsia="Calibri" w:hAnsi="Arial" w:cs="Arial"/>
                <w:lang w:val="es-MX"/>
              </w:rPr>
            </w:pPr>
          </w:p>
          <w:p w14:paraId="2A322B95" w14:textId="77777777" w:rsidR="00E42B7C" w:rsidRPr="001F2D25" w:rsidRDefault="00E42B7C" w:rsidP="00B2177C">
            <w:pPr>
              <w:pStyle w:val="Sinespaciado"/>
              <w:ind w:right="-93"/>
              <w:jc w:val="both"/>
              <w:rPr>
                <w:rFonts w:ascii="Arial" w:eastAsia="Calibri" w:hAnsi="Arial" w:cs="Arial"/>
                <w:i/>
                <w:sz w:val="18"/>
                <w:szCs w:val="18"/>
                <w:lang w:val="es-MX"/>
              </w:rPr>
            </w:pPr>
          </w:p>
          <w:p w14:paraId="61BEB537" w14:textId="77777777" w:rsidR="00FE72B8" w:rsidRPr="001F2D25" w:rsidRDefault="00FE72B8" w:rsidP="00B2177C">
            <w:pPr>
              <w:pStyle w:val="Sinespaciado"/>
              <w:ind w:right="-93"/>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B2177C">
            <w:pPr>
              <w:pStyle w:val="Sinespaciado"/>
              <w:numPr>
                <w:ilvl w:val="0"/>
                <w:numId w:val="2"/>
              </w:numPr>
              <w:ind w:right="-93"/>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B2177C">
            <w:pPr>
              <w:pStyle w:val="Sinespaciado"/>
              <w:ind w:right="-93"/>
              <w:rPr>
                <w:rFonts w:ascii="Arial" w:eastAsia="Calibri" w:hAnsi="Arial" w:cs="Arial"/>
                <w:lang w:val="es-MX"/>
              </w:rPr>
            </w:pPr>
          </w:p>
          <w:p w14:paraId="5766BD32" w14:textId="77777777" w:rsidR="005D343D" w:rsidRPr="001F2D25" w:rsidRDefault="005D343D" w:rsidP="00B2177C">
            <w:pPr>
              <w:pStyle w:val="Sinespaciado"/>
              <w:ind w:right="-93"/>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B2177C">
            <w:pPr>
              <w:pStyle w:val="Sinespaciado"/>
              <w:ind w:right="-93"/>
              <w:rPr>
                <w:rFonts w:ascii="Arial" w:eastAsia="Calibri" w:hAnsi="Arial" w:cs="Arial"/>
                <w:lang w:val="es-MX"/>
              </w:rPr>
            </w:pPr>
          </w:p>
          <w:p w14:paraId="72249B80" w14:textId="77777777" w:rsidR="005D343D" w:rsidRPr="001F2D25" w:rsidRDefault="005D343D" w:rsidP="00B2177C">
            <w:pPr>
              <w:pStyle w:val="Sinespaciado"/>
              <w:ind w:right="-93"/>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B2177C">
            <w:pPr>
              <w:pStyle w:val="Sinespaciado"/>
              <w:ind w:right="-93"/>
              <w:rPr>
                <w:rFonts w:ascii="Arial" w:eastAsia="Calibri" w:hAnsi="Arial" w:cs="Arial"/>
                <w:lang w:val="es-MX"/>
              </w:rPr>
            </w:pPr>
          </w:p>
          <w:p w14:paraId="032A5E8F" w14:textId="77777777" w:rsidR="00C5649B" w:rsidRPr="001F2D25" w:rsidRDefault="00C5649B" w:rsidP="00B2177C">
            <w:pPr>
              <w:pStyle w:val="Sinespaciado"/>
              <w:numPr>
                <w:ilvl w:val="0"/>
                <w:numId w:val="15"/>
              </w:numPr>
              <w:ind w:right="-93"/>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B2177C">
            <w:pPr>
              <w:pStyle w:val="Sinespaciado"/>
              <w:ind w:left="720" w:right="-93"/>
              <w:jc w:val="both"/>
              <w:rPr>
                <w:rFonts w:ascii="Arial" w:hAnsi="Arial" w:cs="Arial"/>
                <w:iCs/>
              </w:rPr>
            </w:pPr>
          </w:p>
          <w:p w14:paraId="6F6602FF" w14:textId="77777777" w:rsidR="00C5649B" w:rsidRPr="001F2D25" w:rsidRDefault="00C5649B" w:rsidP="00B2177C">
            <w:pPr>
              <w:pStyle w:val="Sinespaciado"/>
              <w:numPr>
                <w:ilvl w:val="0"/>
                <w:numId w:val="15"/>
              </w:numPr>
              <w:ind w:right="-93"/>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B2177C">
            <w:pPr>
              <w:pStyle w:val="Sinespaciado"/>
              <w:ind w:left="720" w:right="-93"/>
              <w:jc w:val="both"/>
              <w:rPr>
                <w:rFonts w:ascii="Arial" w:hAnsi="Arial" w:cs="Arial"/>
                <w:iCs/>
              </w:rPr>
            </w:pPr>
          </w:p>
          <w:p w14:paraId="58B004BF" w14:textId="77777777" w:rsidR="00F57547" w:rsidRPr="001F2D25" w:rsidRDefault="00C5649B" w:rsidP="00B2177C">
            <w:pPr>
              <w:pStyle w:val="Sinespaciado"/>
              <w:ind w:right="-93"/>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B2177C">
            <w:pPr>
              <w:pStyle w:val="Sinespaciado"/>
              <w:numPr>
                <w:ilvl w:val="0"/>
                <w:numId w:val="2"/>
              </w:numPr>
              <w:ind w:right="-93"/>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B2177C">
            <w:pPr>
              <w:pStyle w:val="Sinespaciado"/>
              <w:ind w:right="-93"/>
              <w:rPr>
                <w:rFonts w:ascii="Arial" w:eastAsia="Calibri" w:hAnsi="Arial" w:cs="Arial"/>
                <w:lang w:val="es-MX"/>
              </w:rPr>
            </w:pPr>
          </w:p>
          <w:p w14:paraId="33FBB6EA" w14:textId="77777777" w:rsidR="00E93701" w:rsidRPr="001F2D25" w:rsidRDefault="00E93701" w:rsidP="00B2177C">
            <w:pPr>
              <w:pStyle w:val="Sinespaciado"/>
              <w:ind w:right="-93"/>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B2177C">
            <w:pPr>
              <w:pStyle w:val="Sinespaciado"/>
              <w:ind w:right="-93"/>
              <w:rPr>
                <w:rFonts w:ascii="Arial" w:eastAsia="Calibri" w:hAnsi="Arial" w:cs="Arial"/>
                <w:lang w:val="es-MX"/>
              </w:rPr>
            </w:pPr>
          </w:p>
          <w:p w14:paraId="05C1DBFE" w14:textId="77777777" w:rsidR="00E93701" w:rsidRPr="001F2D25" w:rsidRDefault="00E93701" w:rsidP="00B2177C">
            <w:pPr>
              <w:pStyle w:val="Sinespaciado"/>
              <w:ind w:right="-93"/>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B2177C">
            <w:pPr>
              <w:pStyle w:val="Sinespaciado"/>
              <w:ind w:right="-93"/>
              <w:rPr>
                <w:rFonts w:ascii="Arial" w:eastAsia="Calibri" w:hAnsi="Arial" w:cs="Arial"/>
                <w:lang w:val="es-MX"/>
              </w:rPr>
            </w:pPr>
          </w:p>
          <w:p w14:paraId="1133819C" w14:textId="77777777" w:rsidR="001F2D25" w:rsidRPr="001F2D25" w:rsidRDefault="001F2D25" w:rsidP="00B2177C">
            <w:pPr>
              <w:pStyle w:val="Sinespaciado"/>
              <w:numPr>
                <w:ilvl w:val="0"/>
                <w:numId w:val="16"/>
              </w:numPr>
              <w:ind w:right="-93"/>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B2177C">
            <w:pPr>
              <w:pStyle w:val="Sinespaciado"/>
              <w:ind w:left="720" w:right="-93"/>
              <w:jc w:val="both"/>
              <w:rPr>
                <w:rFonts w:ascii="Arial" w:hAnsi="Arial" w:cs="Arial"/>
                <w:iCs/>
              </w:rPr>
            </w:pPr>
          </w:p>
          <w:p w14:paraId="1C0EEB3C" w14:textId="77777777" w:rsidR="001F2D25" w:rsidRPr="001F2D25" w:rsidRDefault="001F2D25" w:rsidP="00B2177C">
            <w:pPr>
              <w:pStyle w:val="Sinespaciado"/>
              <w:numPr>
                <w:ilvl w:val="0"/>
                <w:numId w:val="16"/>
              </w:numPr>
              <w:ind w:right="-93"/>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B2177C">
            <w:pPr>
              <w:pStyle w:val="Sinespaciado"/>
              <w:ind w:left="720" w:right="-93"/>
              <w:jc w:val="both"/>
              <w:rPr>
                <w:rFonts w:ascii="Arial" w:hAnsi="Arial" w:cs="Arial"/>
                <w:iCs/>
              </w:rPr>
            </w:pPr>
          </w:p>
          <w:p w14:paraId="0ABEE988" w14:textId="77777777" w:rsidR="001F2D25" w:rsidRPr="001F2D25" w:rsidRDefault="001F2D25" w:rsidP="00B2177C">
            <w:pPr>
              <w:pStyle w:val="Sinespaciado"/>
              <w:numPr>
                <w:ilvl w:val="0"/>
                <w:numId w:val="16"/>
              </w:numPr>
              <w:ind w:right="-93"/>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B2177C">
            <w:pPr>
              <w:pStyle w:val="Sinespaciado"/>
              <w:ind w:right="-93"/>
              <w:rPr>
                <w:rFonts w:ascii="Arial" w:eastAsia="Calibri" w:hAnsi="Arial" w:cs="Arial"/>
                <w:lang w:val="es-MX"/>
              </w:rPr>
            </w:pPr>
          </w:p>
          <w:p w14:paraId="15E17E20" w14:textId="77777777" w:rsidR="00C5649B" w:rsidRPr="001F2D25" w:rsidRDefault="00C5649B" w:rsidP="00B2177C">
            <w:pPr>
              <w:pStyle w:val="Sinespaciado"/>
              <w:ind w:right="-93"/>
              <w:rPr>
                <w:rFonts w:ascii="Arial" w:eastAsia="Calibri" w:hAnsi="Arial" w:cs="Arial"/>
                <w:lang w:val="es-MX"/>
              </w:rPr>
            </w:pPr>
          </w:p>
        </w:tc>
      </w:tr>
    </w:tbl>
    <w:p w14:paraId="33970546" w14:textId="77777777" w:rsidR="00B713D2" w:rsidRPr="001F2D25" w:rsidRDefault="00B713D2" w:rsidP="00B2177C">
      <w:pPr>
        <w:pStyle w:val="Sinespaciado"/>
        <w:ind w:left="-1134" w:right="-93"/>
        <w:rPr>
          <w:rFonts w:ascii="Arial" w:eastAsia="Calibri" w:hAnsi="Arial" w:cs="Arial"/>
          <w:lang w:val="es-MX"/>
        </w:rPr>
      </w:pPr>
    </w:p>
    <w:p w14:paraId="43B219E2" w14:textId="77777777" w:rsidR="00ED4ECD" w:rsidRPr="001F2D25" w:rsidRDefault="00ED4ECD" w:rsidP="00B2177C">
      <w:pPr>
        <w:ind w:right="-93"/>
        <w:rPr>
          <w:rFonts w:ascii="Arial" w:hAnsi="Arial" w:cs="Arial"/>
        </w:rPr>
      </w:pPr>
    </w:p>
    <w:p w14:paraId="2297C992" w14:textId="77777777" w:rsidR="00ED4ECD" w:rsidRPr="001F2D25" w:rsidRDefault="00ED4ECD" w:rsidP="00B2177C">
      <w:pPr>
        <w:ind w:right="-93"/>
        <w:rPr>
          <w:rFonts w:ascii="Arial" w:hAnsi="Arial" w:cs="Arial"/>
        </w:rPr>
      </w:pPr>
    </w:p>
    <w:p w14:paraId="341CB10B" w14:textId="5B3FFB36" w:rsidR="002F7D1D" w:rsidRDefault="002F7D1D" w:rsidP="00B2177C">
      <w:pPr>
        <w:ind w:right="-93"/>
        <w:rPr>
          <w:rFonts w:ascii="Arial" w:hAnsi="Arial" w:cs="Arial"/>
        </w:rPr>
      </w:pPr>
    </w:p>
    <w:p w14:paraId="40952F38" w14:textId="364140B3" w:rsidR="00502E46" w:rsidRDefault="00502E46" w:rsidP="00B2177C">
      <w:pPr>
        <w:ind w:right="-93"/>
        <w:rPr>
          <w:rFonts w:ascii="Arial" w:hAnsi="Arial" w:cs="Arial"/>
        </w:rPr>
      </w:pPr>
    </w:p>
    <w:p w14:paraId="3590BFF7" w14:textId="0DF99824" w:rsidR="00502E46" w:rsidRPr="00502E46" w:rsidRDefault="00502E46" w:rsidP="00B2177C">
      <w:pPr>
        <w:pStyle w:val="a"/>
        <w:ind w:right="-93"/>
      </w:pPr>
    </w:p>
    <w:p w14:paraId="0D2124A0" w14:textId="77777777" w:rsidR="00502E46" w:rsidRPr="00502E46" w:rsidRDefault="00502E46" w:rsidP="00B2177C">
      <w:pPr>
        <w:pStyle w:val="a"/>
        <w:ind w:right="-93"/>
      </w:pPr>
    </w:p>
    <w:p w14:paraId="0BF1C04B" w14:textId="36D4B6EF" w:rsidR="00502E46" w:rsidRPr="00502E46" w:rsidRDefault="00502E46" w:rsidP="00B2177C">
      <w:pPr>
        <w:pStyle w:val="a"/>
        <w:ind w:right="-93"/>
      </w:pPr>
      <w:r>
        <w:rPr>
          <w:noProof/>
          <w:szCs w:val="26"/>
          <w:lang w:eastAsia="es-CO"/>
        </w:rPr>
        <w:drawing>
          <wp:inline distT="0" distB="0" distL="0" distR="0" wp14:anchorId="307797CF" wp14:editId="68517865">
            <wp:extent cx="1184910" cy="1184910"/>
            <wp:effectExtent l="0" t="0" r="0" b="0"/>
            <wp:docPr id="2" name="Imagen 2" descr="andicel-sa-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ndicel-sa-ram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4910" cy="1184910"/>
                    </a:xfrm>
                    <a:prstGeom prst="rect">
                      <a:avLst/>
                    </a:prstGeom>
                    <a:noFill/>
                    <a:ln>
                      <a:noFill/>
                    </a:ln>
                  </pic:spPr>
                </pic:pic>
              </a:graphicData>
            </a:graphic>
          </wp:inline>
        </w:drawing>
      </w:r>
    </w:p>
    <w:p w14:paraId="546AB2D2" w14:textId="77777777" w:rsidR="00502E46" w:rsidRPr="00502E46" w:rsidRDefault="00502E46" w:rsidP="00B2177C">
      <w:pPr>
        <w:pStyle w:val="a"/>
        <w:ind w:right="-93"/>
        <w:jc w:val="left"/>
        <w:rPr>
          <w:b w:val="0"/>
        </w:rPr>
      </w:pPr>
    </w:p>
    <w:p w14:paraId="1C5AF743" w14:textId="77777777" w:rsidR="00502E46" w:rsidRPr="00502E46" w:rsidRDefault="00502E46" w:rsidP="00B2177C">
      <w:pPr>
        <w:pStyle w:val="a"/>
        <w:ind w:right="-93"/>
        <w:rPr>
          <w:b w:val="0"/>
        </w:rPr>
      </w:pPr>
      <w:r w:rsidRPr="00502E46">
        <w:rPr>
          <w:b w:val="0"/>
        </w:rPr>
        <w:t xml:space="preserve">REPÚBLICA DE COLOMBIA </w:t>
      </w:r>
    </w:p>
    <w:p w14:paraId="68CC7810" w14:textId="77777777" w:rsidR="00502E46" w:rsidRPr="00502E46" w:rsidRDefault="00502E46" w:rsidP="00B2177C">
      <w:pPr>
        <w:pStyle w:val="a"/>
        <w:ind w:right="-93"/>
        <w:rPr>
          <w:b w:val="0"/>
        </w:rPr>
      </w:pPr>
      <w:r w:rsidRPr="00502E46">
        <w:rPr>
          <w:b w:val="0"/>
        </w:rPr>
        <w:t>RAMA JUDICIAL DEL PODER PÚBLICO</w:t>
      </w:r>
    </w:p>
    <w:p w14:paraId="0726FCE5" w14:textId="77777777" w:rsidR="00502E46" w:rsidRPr="00502E46" w:rsidRDefault="00502E46" w:rsidP="00B2177C">
      <w:pPr>
        <w:pStyle w:val="a"/>
        <w:ind w:right="-93"/>
        <w:rPr>
          <w:b w:val="0"/>
        </w:rPr>
      </w:pPr>
      <w:r w:rsidRPr="00502E46">
        <w:rPr>
          <w:b w:val="0"/>
        </w:rPr>
        <w:t>TRIBUNAL CONTENCIOSO ADMINISTRATIVO DEL CAUCA</w:t>
      </w:r>
    </w:p>
    <w:p w14:paraId="7DC09310" w14:textId="77777777" w:rsidR="00502E46" w:rsidRPr="00502E46" w:rsidRDefault="00502E46" w:rsidP="00B2177C">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ind w:right="-93"/>
        <w:jc w:val="both"/>
        <w:rPr>
          <w:rFonts w:ascii="Arial" w:hAnsi="Arial" w:cs="Arial"/>
          <w:spacing w:val="2"/>
          <w:sz w:val="24"/>
          <w:szCs w:val="24"/>
        </w:rPr>
      </w:pPr>
    </w:p>
    <w:p w14:paraId="6846F6E4" w14:textId="0D5C7C74" w:rsidR="00502E46" w:rsidRPr="00502E46" w:rsidRDefault="00502E46" w:rsidP="00B2177C">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ind w:right="-93"/>
        <w:jc w:val="both"/>
        <w:rPr>
          <w:rFonts w:ascii="Arial" w:hAnsi="Arial" w:cs="Arial"/>
          <w:spacing w:val="2"/>
          <w:sz w:val="24"/>
          <w:szCs w:val="24"/>
        </w:rPr>
      </w:pPr>
      <w:r w:rsidRPr="00502E46">
        <w:rPr>
          <w:rFonts w:ascii="Arial" w:hAnsi="Arial" w:cs="Arial"/>
          <w:spacing w:val="2"/>
          <w:sz w:val="24"/>
          <w:szCs w:val="24"/>
        </w:rPr>
        <w:t xml:space="preserve">Popayán, </w:t>
      </w:r>
      <w:r>
        <w:rPr>
          <w:rFonts w:ascii="Arial" w:hAnsi="Arial" w:cs="Arial"/>
          <w:spacing w:val="2"/>
          <w:sz w:val="24"/>
          <w:szCs w:val="24"/>
        </w:rPr>
        <w:t>dos (02) de septiembre de dos mil veintiuno (2021)</w:t>
      </w:r>
    </w:p>
    <w:p w14:paraId="057A74BB" w14:textId="77777777" w:rsidR="00502E46" w:rsidRPr="00502E46" w:rsidRDefault="00502E46" w:rsidP="00B2177C">
      <w:pPr>
        <w:spacing w:after="0" w:line="240" w:lineRule="auto"/>
        <w:ind w:right="-93"/>
        <w:jc w:val="both"/>
        <w:rPr>
          <w:rFonts w:ascii="Arial" w:eastAsia="Calibri" w:hAnsi="Arial" w:cs="Arial"/>
          <w:sz w:val="24"/>
          <w:szCs w:val="24"/>
          <w:lang w:eastAsia="en-US"/>
        </w:rPr>
      </w:pPr>
      <w:r w:rsidRPr="00502E46">
        <w:rPr>
          <w:rFonts w:ascii="Arial" w:eastAsia="Calibri" w:hAnsi="Arial" w:cs="Arial"/>
          <w:sz w:val="24"/>
          <w:szCs w:val="24"/>
          <w:lang w:eastAsia="en-US"/>
        </w:rPr>
        <w:t>RADICADO:</w:t>
      </w:r>
      <w:r w:rsidRPr="00502E46">
        <w:rPr>
          <w:rFonts w:ascii="Arial" w:eastAsia="Calibri" w:hAnsi="Arial" w:cs="Arial"/>
          <w:sz w:val="24"/>
          <w:szCs w:val="24"/>
          <w:lang w:eastAsia="en-US"/>
        </w:rPr>
        <w:tab/>
      </w:r>
      <w:r w:rsidRPr="00502E46">
        <w:rPr>
          <w:rFonts w:ascii="Arial" w:eastAsia="Calibri" w:hAnsi="Arial" w:cs="Arial"/>
          <w:sz w:val="24"/>
          <w:szCs w:val="24"/>
          <w:lang w:eastAsia="en-US"/>
        </w:rPr>
        <w:tab/>
      </w:r>
      <w:r w:rsidRPr="00502E46">
        <w:rPr>
          <w:rFonts w:ascii="Arial" w:eastAsia="Calibri" w:hAnsi="Arial" w:cs="Arial"/>
          <w:sz w:val="24"/>
          <w:szCs w:val="24"/>
          <w:lang w:eastAsia="en-US"/>
        </w:rPr>
        <w:tab/>
        <w:t>19001-23-33-003-2018-00002-00</w:t>
      </w:r>
    </w:p>
    <w:p w14:paraId="45DCCCA0" w14:textId="77777777" w:rsidR="00502E46" w:rsidRPr="00502E46" w:rsidRDefault="00502E46" w:rsidP="00B2177C">
      <w:pPr>
        <w:spacing w:after="0" w:line="240" w:lineRule="auto"/>
        <w:ind w:left="2835" w:right="-93" w:hanging="2835"/>
        <w:jc w:val="both"/>
        <w:rPr>
          <w:rFonts w:ascii="Arial" w:eastAsia="Calibri" w:hAnsi="Arial" w:cs="Arial"/>
          <w:sz w:val="24"/>
          <w:szCs w:val="24"/>
          <w:lang w:eastAsia="en-US"/>
        </w:rPr>
      </w:pPr>
      <w:r w:rsidRPr="00502E46">
        <w:rPr>
          <w:rFonts w:ascii="Arial" w:eastAsia="Calibri" w:hAnsi="Arial" w:cs="Arial"/>
          <w:sz w:val="24"/>
          <w:szCs w:val="24"/>
          <w:lang w:eastAsia="en-US"/>
        </w:rPr>
        <w:t>DEMANDANTE:</w:t>
      </w:r>
      <w:r w:rsidRPr="00502E46">
        <w:rPr>
          <w:rFonts w:ascii="Arial" w:eastAsia="Calibri" w:hAnsi="Arial" w:cs="Arial"/>
          <w:sz w:val="24"/>
          <w:szCs w:val="24"/>
          <w:lang w:eastAsia="en-US"/>
        </w:rPr>
        <w:tab/>
        <w:t>FRANCIA SIRLEY VALENCIA VERGARA</w:t>
      </w:r>
    </w:p>
    <w:p w14:paraId="42A2F3C9" w14:textId="77777777" w:rsidR="00502E46" w:rsidRPr="00502E46" w:rsidRDefault="00502E46" w:rsidP="00B2177C">
      <w:pPr>
        <w:spacing w:after="0" w:line="240" w:lineRule="auto"/>
        <w:ind w:left="2835" w:right="-93" w:hanging="2835"/>
        <w:jc w:val="both"/>
        <w:rPr>
          <w:rFonts w:ascii="Arial" w:eastAsia="Calibri" w:hAnsi="Arial" w:cs="Arial"/>
          <w:sz w:val="24"/>
          <w:szCs w:val="24"/>
          <w:lang w:eastAsia="en-US"/>
        </w:rPr>
      </w:pPr>
      <w:r w:rsidRPr="00502E46">
        <w:rPr>
          <w:rFonts w:ascii="Arial" w:eastAsia="Calibri" w:hAnsi="Arial" w:cs="Arial"/>
          <w:sz w:val="24"/>
          <w:szCs w:val="24"/>
          <w:lang w:eastAsia="en-US"/>
        </w:rPr>
        <w:t>DEMANDADO:</w:t>
      </w:r>
      <w:r w:rsidRPr="00502E46">
        <w:rPr>
          <w:rFonts w:ascii="Arial" w:eastAsia="Calibri" w:hAnsi="Arial" w:cs="Arial"/>
          <w:sz w:val="24"/>
          <w:szCs w:val="24"/>
          <w:lang w:eastAsia="en-US"/>
        </w:rPr>
        <w:tab/>
        <w:t>NACIÓN – MINEDUCACIÓN – FOMAG</w:t>
      </w:r>
    </w:p>
    <w:p w14:paraId="473C693B" w14:textId="046F2702" w:rsidR="00502E46" w:rsidRPr="00502E46" w:rsidRDefault="00502E46" w:rsidP="00B2177C">
      <w:pPr>
        <w:spacing w:after="0" w:line="240" w:lineRule="auto"/>
        <w:ind w:left="2832" w:right="-93" w:hanging="2832"/>
        <w:jc w:val="both"/>
        <w:rPr>
          <w:rFonts w:ascii="Arial" w:eastAsia="Calibri" w:hAnsi="Arial" w:cs="Arial"/>
          <w:sz w:val="24"/>
          <w:szCs w:val="24"/>
          <w:lang w:eastAsia="en-US"/>
        </w:rPr>
      </w:pPr>
      <w:r w:rsidRPr="00502E46">
        <w:rPr>
          <w:rFonts w:ascii="Arial" w:eastAsia="Calibri" w:hAnsi="Arial" w:cs="Arial"/>
          <w:sz w:val="24"/>
          <w:szCs w:val="24"/>
          <w:lang w:eastAsia="en-US"/>
        </w:rPr>
        <w:t>MEDIO DE CONTROL:</w:t>
      </w:r>
      <w:r w:rsidRPr="00502E46">
        <w:rPr>
          <w:rFonts w:ascii="Arial" w:eastAsia="Calibri" w:hAnsi="Arial" w:cs="Arial"/>
          <w:sz w:val="24"/>
          <w:szCs w:val="24"/>
          <w:lang w:eastAsia="en-US"/>
        </w:rPr>
        <w:tab/>
        <w:t>NULIDAD Y RESTABLECIMIENTO DEL DERECHO</w:t>
      </w:r>
      <w:r>
        <w:rPr>
          <w:rFonts w:ascii="Arial" w:eastAsia="Calibri" w:hAnsi="Arial" w:cs="Arial"/>
          <w:sz w:val="24"/>
          <w:szCs w:val="24"/>
          <w:lang w:eastAsia="en-US"/>
        </w:rPr>
        <w:t xml:space="preserve"> - </w:t>
      </w:r>
      <w:r w:rsidRPr="00502E46">
        <w:rPr>
          <w:rFonts w:ascii="Arial" w:eastAsia="Calibri" w:hAnsi="Arial" w:cs="Arial"/>
          <w:sz w:val="24"/>
          <w:szCs w:val="24"/>
          <w:lang w:eastAsia="en-US"/>
        </w:rPr>
        <w:t>PRIMERA INSTANCIA</w:t>
      </w:r>
    </w:p>
    <w:p w14:paraId="739DDDC4" w14:textId="77777777" w:rsidR="00502E46" w:rsidRPr="00502E46" w:rsidRDefault="00502E46" w:rsidP="00B2177C">
      <w:pPr>
        <w:spacing w:line="240" w:lineRule="auto"/>
        <w:ind w:right="-93"/>
        <w:jc w:val="both"/>
        <w:rPr>
          <w:rFonts w:ascii="Arial" w:hAnsi="Arial" w:cs="Arial"/>
          <w:b/>
          <w:sz w:val="24"/>
          <w:szCs w:val="24"/>
        </w:rPr>
      </w:pPr>
    </w:p>
    <w:p w14:paraId="0A518BA3" w14:textId="77777777" w:rsidR="00502E46" w:rsidRPr="00502E46" w:rsidRDefault="00502E46" w:rsidP="00B2177C">
      <w:pPr>
        <w:spacing w:line="240" w:lineRule="auto"/>
        <w:ind w:right="-93"/>
        <w:jc w:val="both"/>
        <w:rPr>
          <w:rFonts w:ascii="Arial" w:hAnsi="Arial" w:cs="Arial"/>
          <w:sz w:val="24"/>
          <w:szCs w:val="24"/>
        </w:rPr>
      </w:pPr>
      <w:r w:rsidRPr="00502E46">
        <w:rPr>
          <w:rFonts w:ascii="Arial" w:hAnsi="Arial" w:cs="Arial"/>
          <w:sz w:val="24"/>
          <w:szCs w:val="24"/>
        </w:rPr>
        <w:t>Pasa el asunto a Despacho para considerar la celebración de la audiencia inicial o la expedición de sentencia anticipada.</w:t>
      </w:r>
    </w:p>
    <w:p w14:paraId="7D429862" w14:textId="77777777" w:rsidR="00502E46" w:rsidRPr="00502E46" w:rsidRDefault="00502E46" w:rsidP="00B2177C">
      <w:pPr>
        <w:numPr>
          <w:ilvl w:val="0"/>
          <w:numId w:val="18"/>
        </w:numPr>
        <w:spacing w:after="0" w:line="240" w:lineRule="auto"/>
        <w:ind w:right="-93"/>
        <w:jc w:val="both"/>
        <w:rPr>
          <w:rFonts w:ascii="Arial" w:hAnsi="Arial" w:cs="Arial"/>
          <w:b/>
          <w:sz w:val="24"/>
          <w:szCs w:val="24"/>
        </w:rPr>
      </w:pPr>
      <w:r w:rsidRPr="00502E46">
        <w:rPr>
          <w:rFonts w:ascii="Arial" w:hAnsi="Arial" w:cs="Arial"/>
          <w:b/>
          <w:sz w:val="24"/>
          <w:szCs w:val="24"/>
        </w:rPr>
        <w:t>Consideraciones</w:t>
      </w:r>
    </w:p>
    <w:p w14:paraId="7EDCE1CE" w14:textId="77777777" w:rsidR="00502E46" w:rsidRPr="00502E46" w:rsidRDefault="00502E46" w:rsidP="00B2177C">
      <w:pPr>
        <w:spacing w:line="240" w:lineRule="auto"/>
        <w:ind w:right="-93"/>
        <w:jc w:val="both"/>
        <w:rPr>
          <w:rFonts w:ascii="Arial" w:hAnsi="Arial" w:cs="Arial"/>
          <w:b/>
          <w:sz w:val="24"/>
          <w:szCs w:val="24"/>
        </w:rPr>
      </w:pPr>
    </w:p>
    <w:p w14:paraId="7ACFA5ED" w14:textId="77777777" w:rsidR="00502E46" w:rsidRPr="00502E46" w:rsidRDefault="00502E46" w:rsidP="00B2177C">
      <w:pPr>
        <w:numPr>
          <w:ilvl w:val="0"/>
          <w:numId w:val="19"/>
        </w:numPr>
        <w:spacing w:after="0" w:line="240" w:lineRule="auto"/>
        <w:ind w:right="-93"/>
        <w:jc w:val="both"/>
        <w:rPr>
          <w:rFonts w:ascii="Arial" w:hAnsi="Arial" w:cs="Arial"/>
          <w:b/>
          <w:sz w:val="24"/>
          <w:szCs w:val="24"/>
        </w:rPr>
      </w:pPr>
      <w:r w:rsidRPr="00502E46">
        <w:rPr>
          <w:rFonts w:ascii="Arial" w:hAnsi="Arial" w:cs="Arial"/>
          <w:b/>
          <w:sz w:val="24"/>
          <w:szCs w:val="24"/>
        </w:rPr>
        <w:t>De las excepciones previas</w:t>
      </w:r>
    </w:p>
    <w:p w14:paraId="0B1D6C50" w14:textId="77777777" w:rsidR="00502E46" w:rsidRPr="00502E46" w:rsidRDefault="00502E46" w:rsidP="00B2177C">
      <w:pPr>
        <w:spacing w:line="240" w:lineRule="auto"/>
        <w:ind w:right="-93"/>
        <w:jc w:val="both"/>
        <w:rPr>
          <w:rFonts w:ascii="Arial" w:hAnsi="Arial" w:cs="Arial"/>
          <w:b/>
          <w:sz w:val="24"/>
          <w:szCs w:val="24"/>
        </w:rPr>
      </w:pPr>
    </w:p>
    <w:p w14:paraId="2403BC53" w14:textId="301F26DD" w:rsidR="00502E46" w:rsidRPr="00502E46" w:rsidRDefault="00502E46" w:rsidP="00B2177C">
      <w:pPr>
        <w:spacing w:line="240" w:lineRule="auto"/>
        <w:ind w:right="-93"/>
        <w:jc w:val="both"/>
        <w:rPr>
          <w:rFonts w:ascii="Arial" w:hAnsi="Arial" w:cs="Arial"/>
          <w:sz w:val="24"/>
          <w:szCs w:val="24"/>
        </w:rPr>
      </w:pPr>
      <w:r w:rsidRPr="00502E46">
        <w:rPr>
          <w:rFonts w:ascii="Arial" w:hAnsi="Arial" w:cs="Arial"/>
          <w:sz w:val="24"/>
          <w:szCs w:val="24"/>
        </w:rPr>
        <w:t xml:space="preserve">El parágrafo 2 del artículo 175 del CPACA, modificado por el artículo 38 de la Ley 2080 de 2021, dispone que la resolución, traslado, pruebas y resolución de las excepciones previas se hará de conformidad con el artículo 101 del CGP. </w:t>
      </w:r>
    </w:p>
    <w:p w14:paraId="3E5C7FAA" w14:textId="77777777" w:rsidR="00502E46" w:rsidRPr="00502E46" w:rsidRDefault="00502E46" w:rsidP="00B2177C">
      <w:pPr>
        <w:spacing w:line="240" w:lineRule="auto"/>
        <w:ind w:right="-93"/>
        <w:jc w:val="both"/>
        <w:rPr>
          <w:rFonts w:ascii="Arial" w:hAnsi="Arial" w:cs="Arial"/>
          <w:sz w:val="24"/>
          <w:szCs w:val="24"/>
        </w:rPr>
      </w:pPr>
      <w:r w:rsidRPr="00502E46">
        <w:rPr>
          <w:rFonts w:ascii="Arial" w:hAnsi="Arial" w:cs="Arial"/>
          <w:sz w:val="24"/>
          <w:szCs w:val="24"/>
        </w:rPr>
        <w:t xml:space="preserve">De tales artículos se desprende que las excepciones se resolverán en las siguientes etapas procesales: i) antes de la audiencia inicial, </w:t>
      </w:r>
      <w:proofErr w:type="spellStart"/>
      <w:r w:rsidRPr="00502E46">
        <w:rPr>
          <w:rFonts w:ascii="Arial" w:hAnsi="Arial" w:cs="Arial"/>
          <w:sz w:val="24"/>
          <w:szCs w:val="24"/>
        </w:rPr>
        <w:t>ii</w:t>
      </w:r>
      <w:proofErr w:type="spellEnd"/>
      <w:r w:rsidRPr="00502E46">
        <w:rPr>
          <w:rFonts w:ascii="Arial" w:hAnsi="Arial" w:cs="Arial"/>
          <w:sz w:val="24"/>
          <w:szCs w:val="24"/>
        </w:rPr>
        <w:t xml:space="preserve">) durante la audiencia inicial, en dos eventos: a) cuando para decidirlas se hayan decretado pruebas, y b) cuando estén pendientes de resolverse, o </w:t>
      </w:r>
      <w:proofErr w:type="spellStart"/>
      <w:r w:rsidRPr="00502E46">
        <w:rPr>
          <w:rFonts w:ascii="Arial" w:hAnsi="Arial" w:cs="Arial"/>
          <w:sz w:val="24"/>
          <w:szCs w:val="24"/>
        </w:rPr>
        <w:t>iii</w:t>
      </w:r>
      <w:proofErr w:type="spellEnd"/>
      <w:r w:rsidRPr="00502E46">
        <w:rPr>
          <w:rFonts w:ascii="Arial" w:hAnsi="Arial" w:cs="Arial"/>
          <w:sz w:val="24"/>
          <w:szCs w:val="24"/>
        </w:rPr>
        <w:t xml:space="preserve">) en sentencia anticipada, si se trata de declarar fundadas las de cosa juzgada, </w:t>
      </w:r>
      <w:r w:rsidRPr="00502E46">
        <w:rPr>
          <w:rFonts w:ascii="Arial" w:hAnsi="Arial" w:cs="Arial"/>
          <w:sz w:val="24"/>
          <w:szCs w:val="24"/>
        </w:rPr>
        <w:lastRenderedPageBreak/>
        <w:t>caducidad, transacción, falta manifiesta de legitimación en la causa o prescripción extintiva.</w:t>
      </w:r>
    </w:p>
    <w:p w14:paraId="7D9A807C" w14:textId="77777777" w:rsidR="00502E46" w:rsidRPr="00502E46" w:rsidRDefault="00502E46" w:rsidP="00B2177C">
      <w:pPr>
        <w:spacing w:line="240" w:lineRule="auto"/>
        <w:ind w:right="-93"/>
        <w:jc w:val="both"/>
        <w:rPr>
          <w:rFonts w:ascii="Arial" w:hAnsi="Arial" w:cs="Arial"/>
          <w:sz w:val="24"/>
          <w:szCs w:val="24"/>
        </w:rPr>
      </w:pPr>
    </w:p>
    <w:p w14:paraId="2B400C2F" w14:textId="77777777" w:rsidR="00502E46" w:rsidRPr="00502E46" w:rsidRDefault="00502E46" w:rsidP="00B2177C">
      <w:pPr>
        <w:spacing w:line="240" w:lineRule="auto"/>
        <w:ind w:right="-93"/>
        <w:jc w:val="both"/>
        <w:rPr>
          <w:rFonts w:ascii="Arial" w:hAnsi="Arial" w:cs="Arial"/>
          <w:sz w:val="24"/>
          <w:szCs w:val="24"/>
        </w:rPr>
      </w:pPr>
      <w:r w:rsidRPr="00502E46">
        <w:rPr>
          <w:rFonts w:ascii="Arial" w:hAnsi="Arial" w:cs="Arial"/>
          <w:sz w:val="24"/>
          <w:szCs w:val="24"/>
        </w:rPr>
        <w:t xml:space="preserve">Al respecto, en este proceso, la Nación – Ministerio de Educación Nacional – </w:t>
      </w:r>
      <w:proofErr w:type="spellStart"/>
      <w:r w:rsidRPr="00502E46">
        <w:rPr>
          <w:rFonts w:ascii="Arial" w:hAnsi="Arial" w:cs="Arial"/>
          <w:sz w:val="24"/>
          <w:szCs w:val="24"/>
        </w:rPr>
        <w:t>Fomag</w:t>
      </w:r>
      <w:proofErr w:type="spellEnd"/>
      <w:r w:rsidRPr="00502E46">
        <w:rPr>
          <w:rFonts w:ascii="Arial" w:hAnsi="Arial" w:cs="Arial"/>
          <w:sz w:val="24"/>
          <w:szCs w:val="24"/>
        </w:rPr>
        <w:t>, planteó la excepción de falta de legitimación en la causa, que fue resuelta por auto que antecede, a folio 128 del cuaderno principal, que se encuentra notificado y ejecutoriado.</w:t>
      </w:r>
    </w:p>
    <w:p w14:paraId="532039B8" w14:textId="77777777" w:rsidR="00502E46" w:rsidRPr="00502E46" w:rsidRDefault="00502E46" w:rsidP="00B2177C">
      <w:pPr>
        <w:spacing w:line="240" w:lineRule="auto"/>
        <w:ind w:right="-93"/>
        <w:jc w:val="both"/>
        <w:rPr>
          <w:rFonts w:ascii="Arial" w:hAnsi="Arial" w:cs="Arial"/>
          <w:b/>
          <w:sz w:val="24"/>
          <w:szCs w:val="24"/>
        </w:rPr>
      </w:pPr>
    </w:p>
    <w:p w14:paraId="16532F19" w14:textId="77777777" w:rsidR="00502E46" w:rsidRPr="00502E46" w:rsidRDefault="00502E46" w:rsidP="00B2177C">
      <w:pPr>
        <w:numPr>
          <w:ilvl w:val="0"/>
          <w:numId w:val="19"/>
        </w:numPr>
        <w:spacing w:after="0" w:line="240" w:lineRule="auto"/>
        <w:ind w:right="-93"/>
        <w:jc w:val="both"/>
        <w:rPr>
          <w:rFonts w:ascii="Arial" w:hAnsi="Arial" w:cs="Arial"/>
          <w:b/>
          <w:sz w:val="24"/>
          <w:szCs w:val="24"/>
        </w:rPr>
      </w:pPr>
      <w:r w:rsidRPr="00502E46">
        <w:rPr>
          <w:rFonts w:ascii="Arial" w:hAnsi="Arial" w:cs="Arial"/>
          <w:b/>
          <w:sz w:val="24"/>
          <w:szCs w:val="24"/>
        </w:rPr>
        <w:t>De las pruebas, la fijación del litigio, la sentencia anticipada y el traslado para alegar</w:t>
      </w:r>
    </w:p>
    <w:p w14:paraId="1042911A" w14:textId="77777777" w:rsidR="00502E46" w:rsidRPr="00502E46" w:rsidRDefault="00502E46" w:rsidP="00B2177C">
      <w:pPr>
        <w:spacing w:line="240" w:lineRule="auto"/>
        <w:ind w:right="-93"/>
        <w:jc w:val="both"/>
        <w:rPr>
          <w:rFonts w:ascii="Arial" w:hAnsi="Arial" w:cs="Arial"/>
          <w:sz w:val="24"/>
          <w:szCs w:val="24"/>
        </w:rPr>
      </w:pPr>
    </w:p>
    <w:p w14:paraId="7DB6B04F" w14:textId="18E6E49E" w:rsidR="00502E46" w:rsidRPr="00502E46" w:rsidRDefault="00502E46" w:rsidP="00B2177C">
      <w:pPr>
        <w:spacing w:line="240" w:lineRule="auto"/>
        <w:ind w:right="-93"/>
        <w:jc w:val="both"/>
        <w:rPr>
          <w:rFonts w:ascii="Arial" w:hAnsi="Arial" w:cs="Arial"/>
          <w:sz w:val="24"/>
          <w:szCs w:val="24"/>
        </w:rPr>
      </w:pPr>
      <w:r w:rsidRPr="00502E46">
        <w:rPr>
          <w:rFonts w:ascii="Arial" w:hAnsi="Arial" w:cs="Arial"/>
          <w:sz w:val="24"/>
          <w:szCs w:val="24"/>
        </w:rPr>
        <w:t xml:space="preserve">Ahora bien, el artículo 182A del CPACA, introducido por el artículo 42 de la Ley 2080 de 2021, prevé la posibilidad de que se emita sentencia anticipada en los siguientes eventos: i) antes de la audiencia inicial, si se cumple una de las siguientes cuatro condiciones: a) el asunto es de puro derecho, b) no haya que practicar pruebas, c) únicamente se aportaron pruebas y no se formuló tacha o desconocimiento, y d) las pruebas solicitadas son impertinente, inconducentes o inútiles; </w:t>
      </w:r>
      <w:proofErr w:type="spellStart"/>
      <w:r w:rsidRPr="00502E46">
        <w:rPr>
          <w:rFonts w:ascii="Arial" w:hAnsi="Arial" w:cs="Arial"/>
          <w:sz w:val="24"/>
          <w:szCs w:val="24"/>
        </w:rPr>
        <w:t>ii</w:t>
      </w:r>
      <w:proofErr w:type="spellEnd"/>
      <w:r w:rsidRPr="00502E46">
        <w:rPr>
          <w:rFonts w:ascii="Arial" w:hAnsi="Arial" w:cs="Arial"/>
          <w:sz w:val="24"/>
          <w:szCs w:val="24"/>
        </w:rPr>
        <w:t xml:space="preserve">) en cualquier estado del proceso, en las siguientes dos situaciones: a) por solicitud de común acuerdo entre las partes, b) si el juez encuentra probada la cosa juzgada, la caducidad, la transacción, la conciliación, la falta manifiesta de legitimación en la causa o la prescripción extintiva; y </w:t>
      </w:r>
      <w:proofErr w:type="spellStart"/>
      <w:r w:rsidRPr="00502E46">
        <w:rPr>
          <w:rFonts w:ascii="Arial" w:hAnsi="Arial" w:cs="Arial"/>
          <w:sz w:val="24"/>
          <w:szCs w:val="24"/>
        </w:rPr>
        <w:t>iii</w:t>
      </w:r>
      <w:proofErr w:type="spellEnd"/>
      <w:r w:rsidRPr="00502E46">
        <w:rPr>
          <w:rFonts w:ascii="Arial" w:hAnsi="Arial" w:cs="Arial"/>
          <w:sz w:val="24"/>
          <w:szCs w:val="24"/>
        </w:rPr>
        <w:t>) en caso de allanamiento o de transacción, de conformidad con el artículo 176 del CPACA.</w:t>
      </w:r>
    </w:p>
    <w:p w14:paraId="0881706C" w14:textId="11A8EF09" w:rsidR="00502E46" w:rsidRPr="00502E46" w:rsidRDefault="00502E46" w:rsidP="00B2177C">
      <w:pPr>
        <w:spacing w:line="240" w:lineRule="auto"/>
        <w:ind w:right="-93"/>
        <w:jc w:val="both"/>
        <w:rPr>
          <w:rFonts w:ascii="Arial" w:hAnsi="Arial" w:cs="Arial"/>
          <w:sz w:val="24"/>
          <w:szCs w:val="24"/>
        </w:rPr>
      </w:pPr>
      <w:r w:rsidRPr="00502E46">
        <w:rPr>
          <w:rFonts w:ascii="Arial" w:hAnsi="Arial" w:cs="Arial"/>
          <w:sz w:val="24"/>
          <w:szCs w:val="24"/>
        </w:rPr>
        <w:t xml:space="preserve">Para el primero de los supuestos anotados, se regula que el juez o magistrado ponente, por auto i) se pronunciará sobre las pruebas a que haya lugar </w:t>
      </w:r>
      <w:proofErr w:type="spellStart"/>
      <w:r w:rsidRPr="00502E46">
        <w:rPr>
          <w:rFonts w:ascii="Arial" w:hAnsi="Arial" w:cs="Arial"/>
          <w:sz w:val="24"/>
          <w:szCs w:val="24"/>
        </w:rPr>
        <w:t>ii</w:t>
      </w:r>
      <w:proofErr w:type="spellEnd"/>
      <w:r w:rsidRPr="00502E46">
        <w:rPr>
          <w:rFonts w:ascii="Arial" w:hAnsi="Arial" w:cs="Arial"/>
          <w:sz w:val="24"/>
          <w:szCs w:val="24"/>
        </w:rPr>
        <w:t xml:space="preserve">) fijará el litigio u objeto de la controversia, y que </w:t>
      </w:r>
      <w:proofErr w:type="spellStart"/>
      <w:r w:rsidRPr="00502E46">
        <w:rPr>
          <w:rFonts w:ascii="Arial" w:hAnsi="Arial" w:cs="Arial"/>
          <w:sz w:val="24"/>
          <w:szCs w:val="24"/>
        </w:rPr>
        <w:t>iii</w:t>
      </w:r>
      <w:proofErr w:type="spellEnd"/>
      <w:r w:rsidRPr="00502E46">
        <w:rPr>
          <w:rFonts w:ascii="Arial" w:hAnsi="Arial" w:cs="Arial"/>
          <w:sz w:val="24"/>
          <w:szCs w:val="24"/>
        </w:rPr>
        <w:t xml:space="preserve">) indicará la razón por la cual se proferirá sentencia anticipada, y </w:t>
      </w:r>
      <w:proofErr w:type="spellStart"/>
      <w:r w:rsidRPr="00502E46">
        <w:rPr>
          <w:rFonts w:ascii="Arial" w:hAnsi="Arial" w:cs="Arial"/>
          <w:sz w:val="24"/>
          <w:szCs w:val="24"/>
        </w:rPr>
        <w:t>iv</w:t>
      </w:r>
      <w:proofErr w:type="spellEnd"/>
      <w:r w:rsidRPr="00502E46">
        <w:rPr>
          <w:rFonts w:ascii="Arial" w:hAnsi="Arial" w:cs="Arial"/>
          <w:sz w:val="24"/>
          <w:szCs w:val="24"/>
        </w:rPr>
        <w:t>) correrá traslado para alegar según el inciso final del artículo 181 del CPACA, luego de lo cual, v) emitirá la sentencia.</w:t>
      </w:r>
    </w:p>
    <w:p w14:paraId="0D29AEC8" w14:textId="6CDD4BA6" w:rsidR="00502E46" w:rsidRPr="00502E46" w:rsidRDefault="00502E46" w:rsidP="00B2177C">
      <w:pPr>
        <w:spacing w:line="240" w:lineRule="auto"/>
        <w:ind w:right="-93"/>
        <w:jc w:val="both"/>
        <w:rPr>
          <w:rFonts w:ascii="Arial" w:hAnsi="Arial" w:cs="Arial"/>
          <w:sz w:val="24"/>
          <w:szCs w:val="24"/>
        </w:rPr>
      </w:pPr>
      <w:r w:rsidRPr="00502E46">
        <w:rPr>
          <w:rFonts w:ascii="Arial" w:hAnsi="Arial" w:cs="Arial"/>
          <w:sz w:val="24"/>
          <w:szCs w:val="24"/>
        </w:rPr>
        <w:t>Al amparo de esta normatividad, pasa el Despacho a pronunciarse sobre las pruebas, a fijar el litigio, establecer la causal de sentencia anticipada y a correr traslado para alegar.</w:t>
      </w:r>
    </w:p>
    <w:p w14:paraId="3D6C56F6" w14:textId="076C713F" w:rsidR="00502E46" w:rsidRDefault="00502E46" w:rsidP="00B2177C">
      <w:pPr>
        <w:numPr>
          <w:ilvl w:val="1"/>
          <w:numId w:val="19"/>
        </w:numPr>
        <w:spacing w:after="0" w:line="240" w:lineRule="auto"/>
        <w:ind w:right="-93"/>
        <w:jc w:val="both"/>
        <w:rPr>
          <w:rFonts w:ascii="Arial" w:hAnsi="Arial" w:cs="Arial"/>
          <w:b/>
          <w:sz w:val="24"/>
          <w:szCs w:val="24"/>
        </w:rPr>
      </w:pPr>
      <w:r w:rsidRPr="00502E46">
        <w:rPr>
          <w:rFonts w:ascii="Arial" w:hAnsi="Arial" w:cs="Arial"/>
          <w:b/>
          <w:sz w:val="24"/>
          <w:szCs w:val="24"/>
        </w:rPr>
        <w:t>Las pruebas</w:t>
      </w:r>
    </w:p>
    <w:p w14:paraId="66411F9A" w14:textId="77777777" w:rsidR="00B2177C" w:rsidRPr="00B2177C" w:rsidRDefault="00B2177C" w:rsidP="00B2177C">
      <w:pPr>
        <w:spacing w:after="0" w:line="240" w:lineRule="auto"/>
        <w:ind w:left="1080" w:right="-93"/>
        <w:jc w:val="both"/>
        <w:rPr>
          <w:rFonts w:ascii="Arial" w:hAnsi="Arial" w:cs="Arial"/>
          <w:b/>
          <w:sz w:val="24"/>
          <w:szCs w:val="24"/>
        </w:rPr>
      </w:pPr>
    </w:p>
    <w:p w14:paraId="0050FA88" w14:textId="77777777" w:rsidR="00502E46" w:rsidRPr="00502E46" w:rsidRDefault="00502E46" w:rsidP="00B2177C">
      <w:pPr>
        <w:spacing w:line="240" w:lineRule="auto"/>
        <w:ind w:right="-93"/>
        <w:jc w:val="both"/>
        <w:rPr>
          <w:rFonts w:ascii="Arial" w:hAnsi="Arial" w:cs="Arial"/>
          <w:sz w:val="24"/>
          <w:szCs w:val="24"/>
        </w:rPr>
      </w:pPr>
      <w:r w:rsidRPr="00502E46">
        <w:rPr>
          <w:rFonts w:ascii="Arial" w:hAnsi="Arial" w:cs="Arial"/>
          <w:sz w:val="24"/>
          <w:szCs w:val="24"/>
        </w:rPr>
        <w:t xml:space="preserve">Visto el expediente, se tiene que la parte demandante aportó pruebas con la demanda, que reposan a folios 12 y siguientes, y no solicitó el decreto y práctica de otros elementos de prueba. A la vez, la entidad demandada allegó el expediente administrativo, a folios 88 y siguientes, y tampoco </w:t>
      </w:r>
      <w:r w:rsidRPr="00502E46">
        <w:rPr>
          <w:rFonts w:ascii="Arial" w:hAnsi="Arial" w:cs="Arial"/>
          <w:sz w:val="24"/>
          <w:szCs w:val="24"/>
        </w:rPr>
        <w:lastRenderedPageBreak/>
        <w:t>solicitó el decreto y práctica de otras. Sobre las pruebas no se formuló tacha o desconocimiento alguno.</w:t>
      </w:r>
    </w:p>
    <w:p w14:paraId="3DA7DABE" w14:textId="77777777" w:rsidR="00502E46" w:rsidRPr="00502E46" w:rsidRDefault="00502E46" w:rsidP="00B2177C">
      <w:pPr>
        <w:spacing w:line="240" w:lineRule="auto"/>
        <w:ind w:right="-93"/>
        <w:jc w:val="both"/>
        <w:rPr>
          <w:rFonts w:ascii="Arial" w:hAnsi="Arial" w:cs="Arial"/>
          <w:sz w:val="24"/>
          <w:szCs w:val="24"/>
        </w:rPr>
      </w:pPr>
    </w:p>
    <w:p w14:paraId="6B7F92B9" w14:textId="77777777" w:rsidR="00502E46" w:rsidRPr="00502E46" w:rsidRDefault="00502E46" w:rsidP="00B2177C">
      <w:pPr>
        <w:spacing w:line="240" w:lineRule="auto"/>
        <w:ind w:right="-93"/>
        <w:jc w:val="both"/>
        <w:rPr>
          <w:rFonts w:ascii="Arial" w:hAnsi="Arial" w:cs="Arial"/>
          <w:sz w:val="24"/>
          <w:szCs w:val="24"/>
        </w:rPr>
      </w:pPr>
      <w:r w:rsidRPr="00502E46">
        <w:rPr>
          <w:rFonts w:ascii="Arial" w:hAnsi="Arial" w:cs="Arial"/>
          <w:sz w:val="24"/>
          <w:szCs w:val="24"/>
        </w:rPr>
        <w:t xml:space="preserve">En consecuencia, se dispondrá tener las pruebas aportadas con la demanda y la contestación, en el valor que les corresponda. </w:t>
      </w:r>
    </w:p>
    <w:p w14:paraId="182CBA6C" w14:textId="77777777" w:rsidR="00502E46" w:rsidRPr="00502E46" w:rsidRDefault="00502E46" w:rsidP="00B2177C">
      <w:pPr>
        <w:spacing w:line="240" w:lineRule="auto"/>
        <w:ind w:right="-93"/>
        <w:jc w:val="both"/>
        <w:rPr>
          <w:rFonts w:ascii="Arial" w:hAnsi="Arial" w:cs="Arial"/>
          <w:sz w:val="24"/>
          <w:szCs w:val="24"/>
        </w:rPr>
      </w:pPr>
    </w:p>
    <w:p w14:paraId="06F8746A" w14:textId="77777777" w:rsidR="00502E46" w:rsidRPr="00502E46" w:rsidRDefault="00502E46" w:rsidP="00B2177C">
      <w:pPr>
        <w:numPr>
          <w:ilvl w:val="1"/>
          <w:numId w:val="19"/>
        </w:numPr>
        <w:spacing w:after="0" w:line="240" w:lineRule="auto"/>
        <w:ind w:right="-93"/>
        <w:jc w:val="both"/>
        <w:rPr>
          <w:rFonts w:ascii="Arial" w:hAnsi="Arial" w:cs="Arial"/>
          <w:b/>
          <w:sz w:val="24"/>
          <w:szCs w:val="24"/>
        </w:rPr>
      </w:pPr>
      <w:r w:rsidRPr="00502E46">
        <w:rPr>
          <w:rFonts w:ascii="Arial" w:hAnsi="Arial" w:cs="Arial"/>
          <w:b/>
          <w:sz w:val="24"/>
          <w:szCs w:val="24"/>
        </w:rPr>
        <w:t>La fijación del litigio</w:t>
      </w:r>
    </w:p>
    <w:p w14:paraId="0496BC4F" w14:textId="77777777" w:rsidR="00502E46" w:rsidRPr="00502E46" w:rsidRDefault="00502E46" w:rsidP="00B2177C">
      <w:pPr>
        <w:spacing w:line="240" w:lineRule="auto"/>
        <w:ind w:right="-93"/>
        <w:jc w:val="both"/>
        <w:rPr>
          <w:rFonts w:ascii="Arial" w:hAnsi="Arial" w:cs="Arial"/>
          <w:sz w:val="24"/>
          <w:szCs w:val="24"/>
        </w:rPr>
      </w:pPr>
    </w:p>
    <w:p w14:paraId="41067258" w14:textId="6B664D1B" w:rsidR="00502E46" w:rsidRPr="00502E46" w:rsidRDefault="00502E46" w:rsidP="00B2177C">
      <w:pPr>
        <w:spacing w:line="240" w:lineRule="auto"/>
        <w:ind w:right="-93"/>
        <w:jc w:val="both"/>
        <w:rPr>
          <w:rFonts w:ascii="Arial" w:hAnsi="Arial" w:cs="Arial"/>
          <w:sz w:val="24"/>
          <w:szCs w:val="24"/>
        </w:rPr>
      </w:pPr>
      <w:r w:rsidRPr="00502E46">
        <w:rPr>
          <w:rFonts w:ascii="Arial" w:hAnsi="Arial" w:cs="Arial"/>
          <w:sz w:val="24"/>
          <w:szCs w:val="24"/>
        </w:rPr>
        <w:t>Revisado el asunto, el Despacho considera que el litigio a resolver, consiste en:</w:t>
      </w:r>
    </w:p>
    <w:p w14:paraId="2F5D73CF" w14:textId="77777777" w:rsidR="00502E46" w:rsidRPr="00502E46" w:rsidRDefault="00502E46" w:rsidP="00B2177C">
      <w:pPr>
        <w:spacing w:line="240" w:lineRule="auto"/>
        <w:ind w:left="708" w:right="-93"/>
        <w:jc w:val="both"/>
        <w:rPr>
          <w:rFonts w:ascii="Arial" w:hAnsi="Arial" w:cs="Arial"/>
          <w:sz w:val="24"/>
          <w:szCs w:val="24"/>
        </w:rPr>
      </w:pPr>
      <w:r w:rsidRPr="00502E46">
        <w:rPr>
          <w:rFonts w:ascii="Arial" w:hAnsi="Arial" w:cs="Arial"/>
          <w:sz w:val="24"/>
          <w:szCs w:val="24"/>
        </w:rPr>
        <w:t>Determinar la legalidad del acto administrativo cuestionado, Oficio No. 0710 de 22 de marzo de 2017, proferido por el secretario de educación y cultura del departamento del Cauca, como delegado del FNPSM, y, consecuentemente, analizar si para el reconocimiento y liquidación de las cesantías de la señora Francia Sirley Valencia, en su calidad de docente, se debe aplicar el régimen anualizado o el régimen retroactivo.</w:t>
      </w:r>
    </w:p>
    <w:p w14:paraId="2F309DDF" w14:textId="77777777" w:rsidR="00502E46" w:rsidRPr="00502E46" w:rsidRDefault="00502E46" w:rsidP="00B2177C">
      <w:pPr>
        <w:spacing w:line="240" w:lineRule="auto"/>
        <w:ind w:left="708" w:right="-93"/>
        <w:jc w:val="both"/>
        <w:rPr>
          <w:rFonts w:ascii="Arial" w:hAnsi="Arial" w:cs="Arial"/>
          <w:sz w:val="24"/>
          <w:szCs w:val="24"/>
        </w:rPr>
      </w:pPr>
    </w:p>
    <w:p w14:paraId="77254D66" w14:textId="77777777" w:rsidR="00502E46" w:rsidRPr="00502E46" w:rsidRDefault="00502E46" w:rsidP="00B2177C">
      <w:pPr>
        <w:numPr>
          <w:ilvl w:val="1"/>
          <w:numId w:val="19"/>
        </w:numPr>
        <w:spacing w:after="0" w:line="240" w:lineRule="auto"/>
        <w:ind w:right="-93"/>
        <w:jc w:val="both"/>
        <w:rPr>
          <w:rFonts w:ascii="Arial" w:hAnsi="Arial" w:cs="Arial"/>
          <w:b/>
          <w:sz w:val="24"/>
          <w:szCs w:val="24"/>
        </w:rPr>
      </w:pPr>
      <w:r w:rsidRPr="00502E46">
        <w:rPr>
          <w:rFonts w:ascii="Arial" w:hAnsi="Arial" w:cs="Arial"/>
          <w:b/>
          <w:sz w:val="24"/>
          <w:szCs w:val="24"/>
        </w:rPr>
        <w:t>Causal para dictar sentencia anticipada</w:t>
      </w:r>
    </w:p>
    <w:p w14:paraId="6D1736A4" w14:textId="77777777" w:rsidR="00502E46" w:rsidRPr="00502E46" w:rsidRDefault="00502E46" w:rsidP="00B2177C">
      <w:pPr>
        <w:spacing w:line="240" w:lineRule="auto"/>
        <w:ind w:right="-93"/>
        <w:jc w:val="both"/>
        <w:rPr>
          <w:rFonts w:ascii="Arial" w:hAnsi="Arial" w:cs="Arial"/>
          <w:sz w:val="24"/>
          <w:szCs w:val="24"/>
        </w:rPr>
      </w:pPr>
    </w:p>
    <w:p w14:paraId="2E9823B2" w14:textId="77777777" w:rsidR="00502E46" w:rsidRPr="00502E46" w:rsidRDefault="00502E46" w:rsidP="00B2177C">
      <w:pPr>
        <w:spacing w:line="240" w:lineRule="auto"/>
        <w:ind w:right="-93"/>
        <w:jc w:val="both"/>
        <w:rPr>
          <w:rFonts w:ascii="Arial" w:hAnsi="Arial" w:cs="Arial"/>
          <w:i/>
          <w:sz w:val="24"/>
          <w:szCs w:val="24"/>
        </w:rPr>
      </w:pPr>
      <w:r w:rsidRPr="00502E46">
        <w:rPr>
          <w:rFonts w:ascii="Arial" w:hAnsi="Arial" w:cs="Arial"/>
          <w:sz w:val="24"/>
          <w:szCs w:val="24"/>
        </w:rPr>
        <w:t xml:space="preserve">De manera que en este proceso se cumple la causal para dictar sentencia anticipada, contemplada en el artículo 182 A, numeral 1, literal c, del CPACA, a saber: </w:t>
      </w:r>
      <w:r w:rsidRPr="00502E46">
        <w:rPr>
          <w:rFonts w:ascii="Arial" w:hAnsi="Arial" w:cs="Arial"/>
          <w:i/>
          <w:sz w:val="24"/>
          <w:szCs w:val="24"/>
        </w:rPr>
        <w:t xml:space="preserve">“Cuando solo se solicite tener como pruebas las documentales aportadas con la demanda y la contestación, y sobre ellas no se hubiese formulado tacha o desconocimiento”. </w:t>
      </w:r>
    </w:p>
    <w:p w14:paraId="1D9E2FB8" w14:textId="77777777" w:rsidR="00502E46" w:rsidRPr="00502E46" w:rsidRDefault="00502E46" w:rsidP="00B2177C">
      <w:pPr>
        <w:spacing w:line="240" w:lineRule="auto"/>
        <w:ind w:right="-93"/>
        <w:jc w:val="both"/>
        <w:rPr>
          <w:rFonts w:ascii="Arial" w:hAnsi="Arial" w:cs="Arial"/>
          <w:b/>
          <w:sz w:val="24"/>
          <w:szCs w:val="24"/>
        </w:rPr>
      </w:pPr>
    </w:p>
    <w:p w14:paraId="58996754" w14:textId="77777777" w:rsidR="00502E46" w:rsidRPr="00502E46" w:rsidRDefault="00502E46" w:rsidP="00B2177C">
      <w:pPr>
        <w:numPr>
          <w:ilvl w:val="1"/>
          <w:numId w:val="19"/>
        </w:numPr>
        <w:spacing w:after="0" w:line="240" w:lineRule="auto"/>
        <w:ind w:right="-93"/>
        <w:jc w:val="both"/>
        <w:rPr>
          <w:rFonts w:ascii="Arial" w:hAnsi="Arial" w:cs="Arial"/>
          <w:b/>
          <w:sz w:val="24"/>
          <w:szCs w:val="24"/>
        </w:rPr>
      </w:pPr>
      <w:r w:rsidRPr="00502E46">
        <w:rPr>
          <w:rFonts w:ascii="Arial" w:hAnsi="Arial" w:cs="Arial"/>
          <w:b/>
          <w:sz w:val="24"/>
          <w:szCs w:val="24"/>
        </w:rPr>
        <w:t>Traslado para alegar y sentencia anticipada</w:t>
      </w:r>
    </w:p>
    <w:p w14:paraId="101DF848" w14:textId="77777777" w:rsidR="00502E46" w:rsidRPr="00502E46" w:rsidRDefault="00502E46" w:rsidP="00B2177C">
      <w:pPr>
        <w:spacing w:line="240" w:lineRule="auto"/>
        <w:ind w:right="-93"/>
        <w:jc w:val="both"/>
        <w:rPr>
          <w:rFonts w:ascii="Arial" w:hAnsi="Arial" w:cs="Arial"/>
          <w:sz w:val="24"/>
          <w:szCs w:val="24"/>
        </w:rPr>
      </w:pPr>
    </w:p>
    <w:p w14:paraId="68CA91CF" w14:textId="77777777" w:rsidR="00502E46" w:rsidRPr="00502E46" w:rsidRDefault="00502E46" w:rsidP="00B2177C">
      <w:pPr>
        <w:spacing w:line="240" w:lineRule="auto"/>
        <w:ind w:right="-93"/>
        <w:jc w:val="both"/>
        <w:rPr>
          <w:rFonts w:ascii="Arial" w:hAnsi="Arial" w:cs="Arial"/>
          <w:sz w:val="24"/>
          <w:szCs w:val="24"/>
        </w:rPr>
      </w:pPr>
      <w:r w:rsidRPr="00502E46">
        <w:rPr>
          <w:rFonts w:ascii="Arial" w:hAnsi="Arial" w:cs="Arial"/>
          <w:sz w:val="24"/>
          <w:szCs w:val="24"/>
        </w:rPr>
        <w:t>Por lo anterior, se correrá traslado para alegar por escrito de conformidad con la parte final del artículo 181 del CPACA, y se dictará sentencia anticipada también por escrito.</w:t>
      </w:r>
    </w:p>
    <w:p w14:paraId="3E48A01F" w14:textId="77777777" w:rsidR="00502E46" w:rsidRPr="00502E46" w:rsidRDefault="00502E46" w:rsidP="00B2177C">
      <w:pPr>
        <w:spacing w:line="240" w:lineRule="auto"/>
        <w:ind w:right="-93"/>
        <w:jc w:val="both"/>
        <w:rPr>
          <w:rFonts w:ascii="Arial" w:hAnsi="Arial" w:cs="Arial"/>
          <w:sz w:val="24"/>
          <w:szCs w:val="24"/>
        </w:rPr>
      </w:pPr>
    </w:p>
    <w:p w14:paraId="03338AA6" w14:textId="77777777" w:rsidR="00502E46" w:rsidRPr="00502E46" w:rsidRDefault="00502E46" w:rsidP="00B2177C">
      <w:pPr>
        <w:spacing w:line="240" w:lineRule="auto"/>
        <w:ind w:right="-93"/>
        <w:jc w:val="both"/>
        <w:rPr>
          <w:rFonts w:ascii="Arial" w:hAnsi="Arial" w:cs="Arial"/>
          <w:sz w:val="24"/>
          <w:szCs w:val="24"/>
        </w:rPr>
      </w:pPr>
      <w:r w:rsidRPr="00502E46">
        <w:rPr>
          <w:rFonts w:ascii="Arial" w:hAnsi="Arial" w:cs="Arial"/>
          <w:sz w:val="24"/>
          <w:szCs w:val="24"/>
        </w:rPr>
        <w:t>Para todos estos efectos, con la notificación de este auto, la Secretaría del Tribunal pondrá el expediente digital a disposición de los sujetos procesales.</w:t>
      </w:r>
    </w:p>
    <w:p w14:paraId="6B5ABD6C" w14:textId="4EA8EFCE" w:rsidR="00502E46" w:rsidRDefault="00502E46" w:rsidP="00B2177C">
      <w:pPr>
        <w:spacing w:line="240" w:lineRule="auto"/>
        <w:ind w:right="-93"/>
        <w:jc w:val="both"/>
        <w:rPr>
          <w:rFonts w:ascii="Arial" w:hAnsi="Arial" w:cs="Arial"/>
          <w:b/>
          <w:sz w:val="24"/>
          <w:szCs w:val="24"/>
        </w:rPr>
      </w:pPr>
    </w:p>
    <w:p w14:paraId="42049A5C" w14:textId="45A2A42C" w:rsidR="00B2177C" w:rsidRDefault="00B2177C" w:rsidP="00B2177C">
      <w:pPr>
        <w:spacing w:line="240" w:lineRule="auto"/>
        <w:ind w:right="-93"/>
        <w:jc w:val="both"/>
        <w:rPr>
          <w:rFonts w:ascii="Arial" w:hAnsi="Arial" w:cs="Arial"/>
          <w:b/>
          <w:sz w:val="24"/>
          <w:szCs w:val="24"/>
        </w:rPr>
      </w:pPr>
    </w:p>
    <w:p w14:paraId="0B810348" w14:textId="77777777" w:rsidR="00B2177C" w:rsidRPr="00502E46" w:rsidRDefault="00B2177C" w:rsidP="00B2177C">
      <w:pPr>
        <w:spacing w:line="240" w:lineRule="auto"/>
        <w:ind w:right="-93"/>
        <w:jc w:val="both"/>
        <w:rPr>
          <w:rFonts w:ascii="Arial" w:hAnsi="Arial" w:cs="Arial"/>
          <w:b/>
          <w:sz w:val="24"/>
          <w:szCs w:val="24"/>
        </w:rPr>
      </w:pPr>
    </w:p>
    <w:p w14:paraId="1321BE24" w14:textId="77777777" w:rsidR="00502E46" w:rsidRPr="00502E46" w:rsidRDefault="00502E46" w:rsidP="00B2177C">
      <w:pPr>
        <w:spacing w:line="240" w:lineRule="auto"/>
        <w:ind w:right="-93"/>
        <w:jc w:val="both"/>
        <w:rPr>
          <w:rFonts w:ascii="Arial" w:hAnsi="Arial" w:cs="Arial"/>
          <w:b/>
          <w:sz w:val="24"/>
          <w:szCs w:val="24"/>
        </w:rPr>
      </w:pPr>
      <w:r w:rsidRPr="00502E46">
        <w:rPr>
          <w:rFonts w:ascii="Arial" w:hAnsi="Arial" w:cs="Arial"/>
          <w:sz w:val="24"/>
          <w:szCs w:val="24"/>
        </w:rPr>
        <w:t>Por lo expuesto,</w:t>
      </w:r>
      <w:r w:rsidRPr="00502E46">
        <w:rPr>
          <w:rFonts w:ascii="Arial" w:hAnsi="Arial" w:cs="Arial"/>
          <w:b/>
          <w:sz w:val="24"/>
          <w:szCs w:val="24"/>
        </w:rPr>
        <w:t xml:space="preserve"> se dispone:</w:t>
      </w:r>
    </w:p>
    <w:p w14:paraId="108836D5" w14:textId="77777777" w:rsidR="00502E46" w:rsidRPr="00502E46" w:rsidRDefault="00502E46" w:rsidP="00B2177C">
      <w:pPr>
        <w:spacing w:line="240" w:lineRule="auto"/>
        <w:ind w:right="-93"/>
        <w:jc w:val="both"/>
        <w:rPr>
          <w:rFonts w:ascii="Arial" w:hAnsi="Arial" w:cs="Arial"/>
          <w:b/>
          <w:sz w:val="24"/>
          <w:szCs w:val="24"/>
        </w:rPr>
      </w:pPr>
    </w:p>
    <w:p w14:paraId="54AC555B" w14:textId="77777777" w:rsidR="00502E46" w:rsidRPr="00502E46" w:rsidRDefault="00502E46" w:rsidP="00B2177C">
      <w:pPr>
        <w:numPr>
          <w:ilvl w:val="0"/>
          <w:numId w:val="17"/>
        </w:numPr>
        <w:spacing w:after="0" w:line="240" w:lineRule="auto"/>
        <w:ind w:left="0" w:right="-93" w:firstLine="0"/>
        <w:jc w:val="both"/>
        <w:rPr>
          <w:rFonts w:ascii="Arial" w:hAnsi="Arial" w:cs="Arial"/>
          <w:sz w:val="24"/>
          <w:szCs w:val="24"/>
        </w:rPr>
      </w:pPr>
      <w:r w:rsidRPr="00502E46">
        <w:rPr>
          <w:rFonts w:ascii="Arial" w:hAnsi="Arial" w:cs="Arial"/>
          <w:sz w:val="24"/>
          <w:szCs w:val="24"/>
        </w:rPr>
        <w:t>Se tienen como pruebas, en el valor que les corresponda, las que se aportaron con la demanda y con la contestación a la demanda.</w:t>
      </w:r>
    </w:p>
    <w:p w14:paraId="725364F0" w14:textId="77777777" w:rsidR="00502E46" w:rsidRPr="00502E46" w:rsidRDefault="00502E46" w:rsidP="00B2177C">
      <w:pPr>
        <w:spacing w:line="240" w:lineRule="auto"/>
        <w:ind w:right="-93"/>
        <w:jc w:val="both"/>
        <w:rPr>
          <w:rFonts w:ascii="Arial" w:hAnsi="Arial" w:cs="Arial"/>
          <w:sz w:val="24"/>
          <w:szCs w:val="24"/>
        </w:rPr>
      </w:pPr>
    </w:p>
    <w:p w14:paraId="04544613" w14:textId="77777777" w:rsidR="00502E46" w:rsidRPr="00502E46" w:rsidRDefault="00502E46" w:rsidP="00B2177C">
      <w:pPr>
        <w:numPr>
          <w:ilvl w:val="0"/>
          <w:numId w:val="17"/>
        </w:numPr>
        <w:spacing w:after="0" w:line="240" w:lineRule="auto"/>
        <w:ind w:left="0" w:right="-93" w:firstLine="0"/>
        <w:jc w:val="both"/>
        <w:rPr>
          <w:rFonts w:ascii="Arial" w:hAnsi="Arial" w:cs="Arial"/>
          <w:sz w:val="24"/>
          <w:szCs w:val="24"/>
        </w:rPr>
      </w:pPr>
      <w:r w:rsidRPr="00502E46">
        <w:rPr>
          <w:rFonts w:ascii="Arial" w:hAnsi="Arial" w:cs="Arial"/>
          <w:sz w:val="24"/>
          <w:szCs w:val="24"/>
        </w:rPr>
        <w:t>Fijar el litigio a resolver, en los siguientes términos:</w:t>
      </w:r>
    </w:p>
    <w:p w14:paraId="3010F62F" w14:textId="77777777" w:rsidR="00502E46" w:rsidRPr="00502E46" w:rsidRDefault="00502E46" w:rsidP="00B2177C">
      <w:pPr>
        <w:pStyle w:val="Prrafodelista"/>
        <w:spacing w:line="240" w:lineRule="auto"/>
        <w:ind w:left="0" w:right="-93"/>
        <w:rPr>
          <w:rFonts w:ascii="Arial" w:hAnsi="Arial" w:cs="Arial"/>
          <w:sz w:val="24"/>
          <w:szCs w:val="24"/>
        </w:rPr>
      </w:pPr>
    </w:p>
    <w:p w14:paraId="15C13428" w14:textId="77777777" w:rsidR="00502E46" w:rsidRPr="00502E46" w:rsidRDefault="00502E46" w:rsidP="00B2177C">
      <w:pPr>
        <w:spacing w:line="240" w:lineRule="auto"/>
        <w:ind w:right="-93"/>
        <w:jc w:val="both"/>
        <w:rPr>
          <w:rFonts w:ascii="Arial" w:hAnsi="Arial" w:cs="Arial"/>
          <w:i/>
          <w:sz w:val="24"/>
          <w:szCs w:val="24"/>
        </w:rPr>
      </w:pPr>
      <w:r w:rsidRPr="00502E46">
        <w:rPr>
          <w:rFonts w:ascii="Arial" w:hAnsi="Arial" w:cs="Arial"/>
          <w:i/>
          <w:sz w:val="24"/>
          <w:szCs w:val="24"/>
        </w:rPr>
        <w:t>Determinar la legalidad del acto administrativo cuestionado, Oficio No. 0710 de 22 de marzo de 2017, proferido por el secretario de educación y cultura del departamento del Cauca, como delegado del FNPSM, y, consecuentemente, analizar si para el reconocimiento y liquidación de las cesantías de la señora Francia Sirley Valencia, en su calidad de docente, se debe aplicar el régimen anualizado o el régimen retroactivo.</w:t>
      </w:r>
    </w:p>
    <w:p w14:paraId="2FFA9628" w14:textId="77777777" w:rsidR="00502E46" w:rsidRPr="00502E46" w:rsidRDefault="00502E46" w:rsidP="00B2177C">
      <w:pPr>
        <w:pStyle w:val="Prrafodelista"/>
        <w:spacing w:line="240" w:lineRule="auto"/>
        <w:ind w:left="0" w:right="-93"/>
        <w:rPr>
          <w:rFonts w:ascii="Arial" w:hAnsi="Arial" w:cs="Arial"/>
          <w:sz w:val="24"/>
          <w:szCs w:val="24"/>
        </w:rPr>
      </w:pPr>
    </w:p>
    <w:p w14:paraId="3B5F5C24" w14:textId="77777777" w:rsidR="00502E46" w:rsidRPr="00502E46" w:rsidRDefault="00502E46" w:rsidP="00B2177C">
      <w:pPr>
        <w:numPr>
          <w:ilvl w:val="0"/>
          <w:numId w:val="17"/>
        </w:numPr>
        <w:spacing w:after="0" w:line="240" w:lineRule="auto"/>
        <w:ind w:left="0" w:right="-93" w:firstLine="0"/>
        <w:jc w:val="both"/>
        <w:rPr>
          <w:rFonts w:ascii="Arial" w:hAnsi="Arial" w:cs="Arial"/>
          <w:i/>
          <w:sz w:val="24"/>
          <w:szCs w:val="24"/>
        </w:rPr>
      </w:pPr>
      <w:r w:rsidRPr="00502E46">
        <w:rPr>
          <w:rFonts w:ascii="Arial" w:hAnsi="Arial" w:cs="Arial"/>
          <w:sz w:val="24"/>
          <w:szCs w:val="24"/>
        </w:rPr>
        <w:t xml:space="preserve">Disponer que en este proceso se cumple la causal para dictar sentencia anticipada, contemplada en el artículo 182 A, numeral 1, literal c, del CPACA, a saber: </w:t>
      </w:r>
      <w:r w:rsidRPr="00502E46">
        <w:rPr>
          <w:rFonts w:ascii="Arial" w:hAnsi="Arial" w:cs="Arial"/>
          <w:i/>
          <w:sz w:val="24"/>
          <w:szCs w:val="24"/>
        </w:rPr>
        <w:t xml:space="preserve">“Cuando solo se solicite tener como pruebas las documentales aportadas con la demanda y la contestación, y sobre ellas no se hubiese formulado tacha o desconocimiento”. </w:t>
      </w:r>
    </w:p>
    <w:p w14:paraId="545EA239" w14:textId="77777777" w:rsidR="00502E46" w:rsidRPr="00502E46" w:rsidRDefault="00502E46" w:rsidP="00B2177C">
      <w:pPr>
        <w:spacing w:line="240" w:lineRule="auto"/>
        <w:ind w:right="-93"/>
        <w:jc w:val="both"/>
        <w:rPr>
          <w:rFonts w:ascii="Arial" w:hAnsi="Arial" w:cs="Arial"/>
          <w:sz w:val="24"/>
          <w:szCs w:val="24"/>
        </w:rPr>
      </w:pPr>
    </w:p>
    <w:p w14:paraId="4D825A0B" w14:textId="77777777" w:rsidR="00502E46" w:rsidRPr="00502E46" w:rsidRDefault="00502E46" w:rsidP="00B2177C">
      <w:pPr>
        <w:numPr>
          <w:ilvl w:val="0"/>
          <w:numId w:val="17"/>
        </w:numPr>
        <w:spacing w:after="0" w:line="240" w:lineRule="auto"/>
        <w:ind w:left="0" w:right="-93" w:firstLine="0"/>
        <w:jc w:val="both"/>
        <w:rPr>
          <w:rFonts w:ascii="Arial" w:hAnsi="Arial" w:cs="Arial"/>
          <w:sz w:val="24"/>
          <w:szCs w:val="24"/>
        </w:rPr>
      </w:pPr>
      <w:r w:rsidRPr="00502E46">
        <w:rPr>
          <w:rFonts w:ascii="Arial" w:hAnsi="Arial" w:cs="Arial"/>
          <w:sz w:val="24"/>
          <w:szCs w:val="24"/>
        </w:rPr>
        <w:t xml:space="preserve">Ordenar la presentación por escrito de los alegatos de conclusión, dentro de los diez (10) días siguientes a la notificación de este auto. En esta oportunidad, el Ministerio Público podrá presentar su concepto, si a bien lo tiene. Luego se dictará sentencia anticipada también por escrito. </w:t>
      </w:r>
    </w:p>
    <w:p w14:paraId="1CC54312" w14:textId="77777777" w:rsidR="00502E46" w:rsidRPr="00502E46" w:rsidRDefault="00502E46" w:rsidP="00B2177C">
      <w:pPr>
        <w:pStyle w:val="Prrafodelista"/>
        <w:spacing w:line="240" w:lineRule="auto"/>
        <w:ind w:left="0" w:right="-93"/>
        <w:rPr>
          <w:rFonts w:ascii="Arial" w:hAnsi="Arial" w:cs="Arial"/>
          <w:sz w:val="24"/>
          <w:szCs w:val="24"/>
        </w:rPr>
      </w:pPr>
    </w:p>
    <w:p w14:paraId="56AAD2AB" w14:textId="77777777" w:rsidR="00502E46" w:rsidRPr="00502E46" w:rsidRDefault="00502E46" w:rsidP="00B2177C">
      <w:pPr>
        <w:numPr>
          <w:ilvl w:val="0"/>
          <w:numId w:val="17"/>
        </w:numPr>
        <w:spacing w:after="0" w:line="240" w:lineRule="auto"/>
        <w:ind w:left="0" w:right="-93" w:firstLine="0"/>
        <w:jc w:val="both"/>
        <w:rPr>
          <w:rFonts w:ascii="Arial" w:hAnsi="Arial" w:cs="Arial"/>
          <w:sz w:val="24"/>
          <w:szCs w:val="24"/>
        </w:rPr>
      </w:pPr>
      <w:r w:rsidRPr="00502E46">
        <w:rPr>
          <w:rFonts w:ascii="Arial" w:hAnsi="Arial" w:cs="Arial"/>
          <w:sz w:val="24"/>
          <w:szCs w:val="24"/>
        </w:rPr>
        <w:t>Con la notificación de este auto, la Secretaría del Tribunal pondrá el expediente digital a disposición de los sujetos procesales.</w:t>
      </w:r>
    </w:p>
    <w:p w14:paraId="7260CEBF" w14:textId="77777777" w:rsidR="00502E46" w:rsidRPr="00502E46" w:rsidRDefault="00502E46" w:rsidP="00B2177C">
      <w:pPr>
        <w:spacing w:line="240" w:lineRule="auto"/>
        <w:ind w:right="-93"/>
        <w:jc w:val="both"/>
        <w:rPr>
          <w:rFonts w:ascii="Arial" w:hAnsi="Arial" w:cs="Arial"/>
          <w:sz w:val="24"/>
          <w:szCs w:val="24"/>
        </w:rPr>
      </w:pPr>
    </w:p>
    <w:p w14:paraId="06E8736C" w14:textId="527281F1" w:rsidR="00502E46" w:rsidRDefault="00502E46" w:rsidP="00B2177C">
      <w:pPr>
        <w:spacing w:line="240" w:lineRule="auto"/>
        <w:ind w:right="-93"/>
        <w:jc w:val="center"/>
        <w:rPr>
          <w:rFonts w:ascii="Arial" w:hAnsi="Arial" w:cs="Arial"/>
          <w:sz w:val="24"/>
          <w:szCs w:val="24"/>
        </w:rPr>
      </w:pPr>
      <w:r w:rsidRPr="00B2177C">
        <w:rPr>
          <w:rFonts w:ascii="Arial" w:hAnsi="Arial" w:cs="Arial"/>
          <w:sz w:val="24"/>
          <w:szCs w:val="24"/>
        </w:rPr>
        <w:t>CÓPIESE, NOTIFÍQUESE Y CÚMPLASE</w:t>
      </w:r>
    </w:p>
    <w:p w14:paraId="0DEFD3B8" w14:textId="4499F32A" w:rsidR="00B2177C" w:rsidRDefault="00B2177C" w:rsidP="00B2177C">
      <w:pPr>
        <w:spacing w:line="240" w:lineRule="auto"/>
        <w:ind w:right="-93"/>
        <w:jc w:val="center"/>
        <w:rPr>
          <w:rFonts w:ascii="Arial" w:hAnsi="Arial" w:cs="Arial"/>
          <w:sz w:val="24"/>
          <w:szCs w:val="24"/>
        </w:rPr>
      </w:pPr>
    </w:p>
    <w:p w14:paraId="61126A5F" w14:textId="65D4E685" w:rsidR="00B2177C" w:rsidRDefault="00B2177C" w:rsidP="00B2177C">
      <w:pPr>
        <w:spacing w:after="0" w:line="240" w:lineRule="auto"/>
        <w:ind w:right="-93"/>
        <w:jc w:val="center"/>
        <w:rPr>
          <w:rFonts w:ascii="Arial" w:hAnsi="Arial" w:cs="Arial"/>
          <w:sz w:val="24"/>
          <w:szCs w:val="24"/>
        </w:rPr>
      </w:pPr>
      <w:r>
        <w:rPr>
          <w:rFonts w:ascii="Arial" w:hAnsi="Arial" w:cs="Arial"/>
          <w:sz w:val="24"/>
          <w:szCs w:val="24"/>
        </w:rPr>
        <w:t xml:space="preserve">Firmado electrónicamente </w:t>
      </w:r>
    </w:p>
    <w:p w14:paraId="0B9CE330" w14:textId="4FC93667" w:rsidR="00502E46" w:rsidRPr="001F2D25" w:rsidRDefault="00B2177C" w:rsidP="00A274E9">
      <w:pPr>
        <w:spacing w:line="240" w:lineRule="auto"/>
        <w:ind w:right="-93"/>
        <w:jc w:val="center"/>
        <w:rPr>
          <w:rFonts w:ascii="Arial" w:hAnsi="Arial" w:cs="Arial"/>
        </w:rPr>
      </w:pPr>
      <w:r>
        <w:rPr>
          <w:rFonts w:ascii="Arial" w:hAnsi="Arial" w:cs="Arial"/>
          <w:sz w:val="24"/>
          <w:szCs w:val="24"/>
        </w:rPr>
        <w:t>LIZETH JOHANA CÓRDOBA GUZMÁ</w:t>
      </w:r>
      <w:r w:rsidR="00A274E9">
        <w:rPr>
          <w:rFonts w:ascii="Arial" w:hAnsi="Arial" w:cs="Arial"/>
          <w:sz w:val="24"/>
          <w:szCs w:val="24"/>
        </w:rPr>
        <w:t>N</w:t>
      </w:r>
      <w:bookmarkStart w:id="0" w:name="_GoBack"/>
      <w:bookmarkEnd w:id="0"/>
    </w:p>
    <w:sectPr w:rsidR="00502E46" w:rsidRPr="001F2D25" w:rsidSect="00B737D7">
      <w:footerReference w:type="default" r:id="rId10"/>
      <w:footerReference w:type="first" r:id="rId11"/>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B0380" w14:textId="77777777" w:rsidR="005819D4" w:rsidRDefault="005819D4">
      <w:pPr>
        <w:spacing w:after="0" w:line="240" w:lineRule="auto"/>
      </w:pPr>
      <w:r>
        <w:separator/>
      </w:r>
    </w:p>
  </w:endnote>
  <w:endnote w:type="continuationSeparator" w:id="0">
    <w:p w14:paraId="11FC088E" w14:textId="77777777" w:rsidR="005819D4" w:rsidRDefault="00581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5819D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5819D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3B441" w14:textId="77777777" w:rsidR="005819D4" w:rsidRDefault="005819D4">
      <w:pPr>
        <w:spacing w:after="0" w:line="240" w:lineRule="auto"/>
      </w:pPr>
      <w:r>
        <w:separator/>
      </w:r>
    </w:p>
  </w:footnote>
  <w:footnote w:type="continuationSeparator" w:id="0">
    <w:p w14:paraId="0C450DCF" w14:textId="77777777" w:rsidR="005819D4" w:rsidRDefault="005819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343B3"/>
    <w:multiLevelType w:val="multilevel"/>
    <w:tmpl w:val="7728B3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3566419C"/>
    <w:multiLevelType w:val="hybridMultilevel"/>
    <w:tmpl w:val="9F4008B2"/>
    <w:lvl w:ilvl="0" w:tplc="ED683D7C">
      <w:start w:val="1"/>
      <w:numFmt w:val="decimal"/>
      <w:lvlText w:val="%1."/>
      <w:lvlJc w:val="left"/>
      <w:pPr>
        <w:ind w:left="1068" w:hanging="360"/>
      </w:pPr>
      <w:rPr>
        <w:rFonts w:hint="default"/>
        <w:i w:val="0"/>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5"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4B7534"/>
    <w:multiLevelType w:val="hybridMultilevel"/>
    <w:tmpl w:val="44E0C81A"/>
    <w:lvl w:ilvl="0" w:tplc="9418FE8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8"/>
  </w:num>
  <w:num w:numId="4">
    <w:abstractNumId w:val="2"/>
  </w:num>
  <w:num w:numId="5">
    <w:abstractNumId w:val="10"/>
  </w:num>
  <w:num w:numId="6">
    <w:abstractNumId w:val="11"/>
  </w:num>
  <w:num w:numId="7">
    <w:abstractNumId w:val="6"/>
  </w:num>
  <w:num w:numId="8">
    <w:abstractNumId w:val="14"/>
  </w:num>
  <w:num w:numId="9">
    <w:abstractNumId w:val="16"/>
  </w:num>
  <w:num w:numId="10">
    <w:abstractNumId w:val="5"/>
  </w:num>
  <w:num w:numId="11">
    <w:abstractNumId w:val="1"/>
  </w:num>
  <w:num w:numId="12">
    <w:abstractNumId w:val="18"/>
  </w:num>
  <w:num w:numId="13">
    <w:abstractNumId w:val="7"/>
  </w:num>
  <w:num w:numId="14">
    <w:abstractNumId w:val="12"/>
  </w:num>
  <w:num w:numId="15">
    <w:abstractNumId w:val="9"/>
  </w:num>
  <w:num w:numId="16">
    <w:abstractNumId w:val="13"/>
  </w:num>
  <w:num w:numId="17">
    <w:abstractNumId w:val="4"/>
  </w:num>
  <w:num w:numId="18">
    <w:abstractNumId w:val="1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47F8D"/>
    <w:rsid w:val="003A0FA3"/>
    <w:rsid w:val="003B379B"/>
    <w:rsid w:val="00407892"/>
    <w:rsid w:val="004430DA"/>
    <w:rsid w:val="00462075"/>
    <w:rsid w:val="004C270A"/>
    <w:rsid w:val="00502E46"/>
    <w:rsid w:val="00532C33"/>
    <w:rsid w:val="00565605"/>
    <w:rsid w:val="005819D4"/>
    <w:rsid w:val="00591BD3"/>
    <w:rsid w:val="005B3ECD"/>
    <w:rsid w:val="005C690E"/>
    <w:rsid w:val="005D343D"/>
    <w:rsid w:val="006E320B"/>
    <w:rsid w:val="00703E01"/>
    <w:rsid w:val="00764314"/>
    <w:rsid w:val="007D59E3"/>
    <w:rsid w:val="00823B31"/>
    <w:rsid w:val="00857522"/>
    <w:rsid w:val="008A6D6D"/>
    <w:rsid w:val="00926ADA"/>
    <w:rsid w:val="00965363"/>
    <w:rsid w:val="0096597C"/>
    <w:rsid w:val="009E3199"/>
    <w:rsid w:val="00A274E9"/>
    <w:rsid w:val="00A461DF"/>
    <w:rsid w:val="00A62E46"/>
    <w:rsid w:val="00B2177C"/>
    <w:rsid w:val="00B47DA4"/>
    <w:rsid w:val="00B57DDC"/>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72"/>
    <w:qFormat/>
    <w:rsid w:val="002E526E"/>
    <w:pPr>
      <w:ind w:left="720"/>
      <w:contextualSpacing/>
    </w:pPr>
  </w:style>
  <w:style w:type="paragraph" w:customStyle="1" w:styleId="a">
    <w:basedOn w:val="Normal"/>
    <w:next w:val="Ttulo"/>
    <w:link w:val="PuestoCar"/>
    <w:qFormat/>
    <w:rsid w:val="00502E46"/>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center"/>
    </w:pPr>
    <w:rPr>
      <w:rFonts w:ascii="Arial" w:eastAsia="Times New Roman" w:hAnsi="Arial" w:cs="Arial"/>
      <w:b/>
      <w:spacing w:val="2"/>
      <w:sz w:val="24"/>
      <w:szCs w:val="24"/>
      <w:lang w:eastAsia="es-ES"/>
    </w:rPr>
  </w:style>
  <w:style w:type="character" w:customStyle="1" w:styleId="PuestoCar">
    <w:name w:val="Puesto Car"/>
    <w:link w:val="a"/>
    <w:rsid w:val="00502E46"/>
    <w:rPr>
      <w:rFonts w:ascii="Arial" w:eastAsia="Times New Roman" w:hAnsi="Arial" w:cs="Arial"/>
      <w:b/>
      <w:spacing w:val="2"/>
      <w:sz w:val="24"/>
      <w:szCs w:val="24"/>
      <w:lang w:val="es-CO" w:eastAsia="es-ES"/>
    </w:rPr>
  </w:style>
  <w:style w:type="paragraph" w:styleId="Ttulo">
    <w:name w:val="Title"/>
    <w:basedOn w:val="Normal"/>
    <w:next w:val="Normal"/>
    <w:link w:val="TtuloCar"/>
    <w:uiPriority w:val="10"/>
    <w:qFormat/>
    <w:rsid w:val="00502E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02E46"/>
    <w:rPr>
      <w:rFonts w:asciiTheme="majorHAnsi" w:eastAsiaTheme="majorEastAsia" w:hAnsiTheme="majorHAnsi" w:cstheme="majorBidi"/>
      <w:spacing w:val="-10"/>
      <w:kern w:val="28"/>
      <w:sz w:val="56"/>
      <w:szCs w:val="56"/>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73710-7444-4967-829C-B644C2CFC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1932</Words>
  <Characters>10632</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David Fernando Ramirez Fajardo</cp:lastModifiedBy>
  <cp:revision>6</cp:revision>
  <dcterms:created xsi:type="dcterms:W3CDTF">2021-09-02T20:56:00Z</dcterms:created>
  <dcterms:modified xsi:type="dcterms:W3CDTF">2021-09-02T21:31:00Z</dcterms:modified>
</cp:coreProperties>
</file>