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9AD3"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1CB44BC6"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4BCBAA7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F5798A1"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E874CED"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679F0446"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5A73EC03"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C320F3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77ED946" w14:textId="411960BA" w:rsidR="009132E2" w:rsidRPr="007E6EE0" w:rsidRDefault="009132E2" w:rsidP="009132E2">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w:t>
      </w:r>
      <w:r w:rsidR="00B952B0">
        <w:rPr>
          <w:rFonts w:ascii="Tahoma" w:eastAsia="Calibri" w:hAnsi="Tahoma" w:cs="Tahoma"/>
          <w:sz w:val="24"/>
          <w:szCs w:val="24"/>
          <w:lang w:val="es-MX"/>
        </w:rPr>
        <w:t>Neyla Yadira López Contreras</w:t>
      </w:r>
      <w:r>
        <w:rPr>
          <w:rFonts w:ascii="Tahoma" w:eastAsia="Calibri" w:hAnsi="Tahoma" w:cs="Tahoma"/>
          <w:sz w:val="24"/>
          <w:szCs w:val="24"/>
          <w:lang w:val="es-MX"/>
        </w:rPr>
        <w:t xml:space="preserve"> </w:t>
      </w:r>
    </w:p>
    <w:p w14:paraId="7862048E" w14:textId="7A139C82"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Fecha:</w:t>
      </w:r>
      <w:r w:rsidR="00B952B0">
        <w:rPr>
          <w:rFonts w:ascii="Tahoma" w:hAnsi="Tahoma" w:cs="Tahoma"/>
          <w:sz w:val="24"/>
          <w:szCs w:val="24"/>
          <w:lang w:val="es-MX"/>
        </w:rPr>
        <w:t xml:space="preserve"> 04</w:t>
      </w:r>
      <w:r>
        <w:rPr>
          <w:rFonts w:ascii="Tahoma" w:hAnsi="Tahoma" w:cs="Tahoma"/>
          <w:sz w:val="24"/>
          <w:szCs w:val="24"/>
          <w:lang w:val="es-MX"/>
        </w:rPr>
        <w:t>/0</w:t>
      </w:r>
      <w:r w:rsidR="00B952B0">
        <w:rPr>
          <w:rFonts w:ascii="Tahoma" w:hAnsi="Tahoma" w:cs="Tahoma"/>
          <w:sz w:val="24"/>
          <w:szCs w:val="24"/>
          <w:lang w:val="es-MX"/>
        </w:rPr>
        <w:t>9</w:t>
      </w:r>
      <w:r>
        <w:rPr>
          <w:rFonts w:ascii="Tahoma" w:hAnsi="Tahoma" w:cs="Tahoma"/>
          <w:sz w:val="24"/>
          <w:szCs w:val="24"/>
          <w:lang w:val="es-MX"/>
        </w:rPr>
        <w:t>/2021</w:t>
      </w:r>
    </w:p>
    <w:p w14:paraId="6355A947" w14:textId="77777777"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Pr>
          <w:rFonts w:ascii="Tahoma" w:hAnsi="Tahoma" w:cs="Tahoma"/>
          <w:sz w:val="24"/>
          <w:szCs w:val="24"/>
          <w:lang w:val="es-MX"/>
        </w:rPr>
        <w:t>Nulidad y restablecimiento del derecho</w:t>
      </w:r>
    </w:p>
    <w:p w14:paraId="684C05FF" w14:textId="336E3D8A"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Demandante:</w:t>
      </w:r>
      <w:r w:rsidR="00D735D0" w:rsidRPr="00D735D0">
        <w:rPr>
          <w:rFonts w:ascii="Arial" w:eastAsia="Arial Unicode MS" w:hAnsi="Arial" w:cs="Arial"/>
          <w:color w:val="000000"/>
          <w:sz w:val="24"/>
          <w:szCs w:val="24"/>
          <w:lang w:eastAsia="es-CO"/>
        </w:rPr>
        <w:t xml:space="preserve"> </w:t>
      </w:r>
      <w:r w:rsidR="00D735D0" w:rsidRPr="00D735D0">
        <w:rPr>
          <w:rFonts w:ascii="Arial" w:eastAsia="Arial Unicode MS" w:hAnsi="Arial" w:cs="Arial"/>
          <w:color w:val="000000"/>
          <w:sz w:val="24"/>
          <w:szCs w:val="24"/>
          <w:lang w:eastAsia="es-CO"/>
        </w:rPr>
        <w:t>DORIS RINCON RODRIGUEZ</w:t>
      </w:r>
    </w:p>
    <w:p w14:paraId="478EF57B" w14:textId="77777777" w:rsidR="009132E2"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Nación- Ministerio de Educación Nacional – Fomag </w:t>
      </w:r>
    </w:p>
    <w:p w14:paraId="526C5476" w14:textId="3B94A719" w:rsidR="009132E2" w:rsidRPr="007E6EE0" w:rsidRDefault="009132E2" w:rsidP="009132E2">
      <w:pPr>
        <w:pStyle w:val="Sinespaciado"/>
        <w:ind w:left="-1134"/>
        <w:rPr>
          <w:rFonts w:ascii="Tahoma" w:hAnsi="Tahoma" w:cs="Tahoma"/>
          <w:sz w:val="24"/>
          <w:szCs w:val="24"/>
          <w:lang w:val="es-MX"/>
        </w:rPr>
      </w:pPr>
      <w:r>
        <w:rPr>
          <w:rFonts w:ascii="Tahoma" w:hAnsi="Tahoma" w:cs="Tahoma"/>
          <w:sz w:val="24"/>
          <w:szCs w:val="24"/>
          <w:lang w:val="es-MX"/>
        </w:rPr>
        <w:t xml:space="preserve">Radicado. </w:t>
      </w:r>
      <w:r w:rsidR="00D735D0">
        <w:rPr>
          <w:rFonts w:ascii="Tahoma" w:hAnsi="Tahoma" w:cs="Tahoma"/>
          <w:sz w:val="24"/>
          <w:szCs w:val="24"/>
          <w:lang w:val="es-MX"/>
        </w:rPr>
        <w:t>54001</w:t>
      </w:r>
      <w:r w:rsidR="000C02B7">
        <w:rPr>
          <w:rFonts w:ascii="Tahoma" w:hAnsi="Tahoma" w:cs="Tahoma"/>
          <w:sz w:val="24"/>
          <w:szCs w:val="24"/>
          <w:lang w:val="es-MX"/>
        </w:rPr>
        <w:t>333300320200001200</w:t>
      </w:r>
    </w:p>
    <w:p w14:paraId="20F11879"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44FCB7E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4991F"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4EB318D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7CC12F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7B00966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096ACE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0F732E40"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50C2000D" w14:textId="6096DB50" w:rsidR="00B530D5" w:rsidRPr="00BC0560" w:rsidRDefault="00B530D5" w:rsidP="000C02B7">
            <w:pPr>
              <w:spacing w:after="24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4E4475">
              <w:rPr>
                <w:rFonts w:ascii="Times New Roman" w:eastAsia="Times New Roman" w:hAnsi="Times New Roman" w:cs="Times New Roman"/>
                <w:b/>
                <w:sz w:val="24"/>
                <w:szCs w:val="24"/>
                <w:lang w:eastAsia="es-CO"/>
              </w:rPr>
              <w:t>Revisado el proceso se advierte que el t</w:t>
            </w:r>
            <w:r w:rsidRPr="00D454B2">
              <w:rPr>
                <w:rFonts w:ascii="Times New Roman" w:eastAsia="Times New Roman" w:hAnsi="Times New Roman" w:cs="Times New Roman"/>
                <w:b/>
                <w:sz w:val="24"/>
                <w:szCs w:val="24"/>
                <w:lang w:eastAsia="es-CO"/>
              </w:rPr>
              <w:t xml:space="preserve">érmino de la demanda se encuentra vencido y no </w:t>
            </w:r>
            <w:r w:rsidR="004E4475">
              <w:rPr>
                <w:rFonts w:ascii="Times New Roman" w:eastAsia="Times New Roman" w:hAnsi="Times New Roman" w:cs="Times New Roman"/>
                <w:b/>
                <w:sz w:val="24"/>
                <w:szCs w:val="24"/>
                <w:lang w:eastAsia="es-CO"/>
              </w:rPr>
              <w:t xml:space="preserve">hay </w:t>
            </w:r>
            <w:r w:rsidRPr="00D454B2">
              <w:rPr>
                <w:rFonts w:ascii="Times New Roman" w:eastAsia="Times New Roman" w:hAnsi="Times New Roman" w:cs="Times New Roman"/>
                <w:b/>
                <w:sz w:val="24"/>
                <w:szCs w:val="24"/>
                <w:lang w:eastAsia="es-CO"/>
              </w:rPr>
              <w:t xml:space="preserve">excepciones previas que resolver, la entidad no propuso y no se encuentra ninguna </w:t>
            </w:r>
            <w:r w:rsidR="00D454B2" w:rsidRPr="00D454B2">
              <w:rPr>
                <w:rFonts w:ascii="Times New Roman" w:eastAsia="Times New Roman" w:hAnsi="Times New Roman" w:cs="Times New Roman"/>
                <w:b/>
                <w:sz w:val="24"/>
                <w:szCs w:val="24"/>
                <w:lang w:eastAsia="es-CO"/>
              </w:rPr>
              <w:t>que deba resolverse.</w:t>
            </w:r>
          </w:p>
          <w:p w14:paraId="3D88D26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26B1D92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7BD69"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459A2A3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652DF0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7443790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B868E5B" w14:textId="769963B2" w:rsidR="00BC0560" w:rsidRPr="0037133B" w:rsidRDefault="00BC0560" w:rsidP="00BC0560">
            <w:pPr>
              <w:spacing w:after="0" w:line="240" w:lineRule="auto"/>
              <w:ind w:left="708"/>
              <w:jc w:val="both"/>
              <w:rPr>
                <w:rFonts w:ascii="Times New Roman" w:eastAsia="Times New Roman" w:hAnsi="Times New Roman" w:cs="Times New Roman"/>
                <w:sz w:val="24"/>
                <w:szCs w:val="24"/>
                <w:u w:val="single"/>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0037133B">
              <w:rPr>
                <w:rFonts w:ascii="Arial" w:eastAsia="Times New Roman" w:hAnsi="Arial" w:cs="Arial"/>
                <w:i/>
                <w:iCs/>
                <w:color w:val="000000"/>
                <w:u w:val="single"/>
                <w:lang w:eastAsia="es-CO"/>
              </w:rPr>
              <w:t>X</w:t>
            </w:r>
          </w:p>
          <w:p w14:paraId="5410154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77AAD90" w14:textId="77777777" w:rsidR="0037133B" w:rsidRPr="0037133B" w:rsidRDefault="00BC0560" w:rsidP="0037133B">
            <w:pPr>
              <w:spacing w:after="0" w:line="240" w:lineRule="auto"/>
              <w:ind w:left="708"/>
              <w:jc w:val="both"/>
              <w:rPr>
                <w:rFonts w:ascii="Times New Roman" w:eastAsia="Times New Roman" w:hAnsi="Times New Roman" w:cs="Times New Roman"/>
                <w:sz w:val="24"/>
                <w:szCs w:val="24"/>
                <w:u w:val="single"/>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0037133B">
              <w:rPr>
                <w:rFonts w:ascii="Arial" w:eastAsia="Times New Roman" w:hAnsi="Arial" w:cs="Arial"/>
                <w:i/>
                <w:iCs/>
                <w:color w:val="000000"/>
                <w:u w:val="single"/>
                <w:lang w:eastAsia="es-CO"/>
              </w:rPr>
              <w:t>X</w:t>
            </w:r>
          </w:p>
          <w:p w14:paraId="080DCF18" w14:textId="686153E3"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lang w:eastAsia="es-CO"/>
              </w:rPr>
              <w:t> </w:t>
            </w:r>
          </w:p>
          <w:p w14:paraId="14CE6DF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AE8750C" w14:textId="7FDC2CBD" w:rsidR="0037133B" w:rsidRPr="0037133B" w:rsidRDefault="00BC0560" w:rsidP="0037133B">
            <w:pPr>
              <w:spacing w:after="0" w:line="240" w:lineRule="auto"/>
              <w:ind w:left="708"/>
              <w:jc w:val="both"/>
              <w:rPr>
                <w:rFonts w:ascii="Times New Roman" w:eastAsia="Times New Roman" w:hAnsi="Times New Roman" w:cs="Times New Roman"/>
                <w:sz w:val="24"/>
                <w:szCs w:val="24"/>
                <w:u w:val="single"/>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0037133B">
              <w:rPr>
                <w:rFonts w:ascii="Arial" w:eastAsia="Times New Roman" w:hAnsi="Arial" w:cs="Arial"/>
                <w:i/>
                <w:iCs/>
                <w:color w:val="000000"/>
                <w:u w:val="single"/>
                <w:lang w:eastAsia="es-CO"/>
              </w:rPr>
              <w:t>X</w:t>
            </w:r>
          </w:p>
          <w:p w14:paraId="6CE93247" w14:textId="72DF3D00"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3AB8F1" w14:textId="77777777" w:rsidR="00BC0560" w:rsidRPr="00BC0560" w:rsidRDefault="00BC0560" w:rsidP="0037133B">
            <w:pPr>
              <w:spacing w:after="0" w:line="240" w:lineRule="auto"/>
              <w:ind w:left="720"/>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6CD5C5C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0384489" w14:textId="469A1CC6" w:rsidR="00BC0560" w:rsidRDefault="00BC0560" w:rsidP="006B08B0">
            <w:pPr>
              <w:spacing w:after="0" w:line="240" w:lineRule="auto"/>
              <w:jc w:val="both"/>
              <w:rPr>
                <w:rFonts w:ascii="Arial" w:eastAsia="Times New Roman" w:hAnsi="Arial" w:cs="Arial"/>
                <w:color w:val="000000"/>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214EB79E" w14:textId="77777777" w:rsidR="006B08B0" w:rsidRPr="00BC0560" w:rsidRDefault="006B08B0" w:rsidP="006B08B0">
            <w:pPr>
              <w:spacing w:after="0" w:line="240" w:lineRule="auto"/>
              <w:jc w:val="both"/>
              <w:rPr>
                <w:rFonts w:ascii="Times New Roman" w:eastAsia="Times New Roman" w:hAnsi="Times New Roman" w:cs="Times New Roman"/>
                <w:sz w:val="24"/>
                <w:szCs w:val="24"/>
                <w:lang w:eastAsia="es-CO"/>
              </w:rPr>
            </w:pPr>
          </w:p>
          <w:p w14:paraId="79AA0E56"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0BF4FFE4"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5109910A"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770E03D9" w14:textId="65D19715"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 El auto fue dictado en debida forma, notificado y se encuentra debidamente ejecutoriado.</w:t>
            </w:r>
          </w:p>
          <w:p w14:paraId="6FB68627"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0A45521F" w14:textId="77777777" w:rsidR="0037133B" w:rsidRDefault="00BC0560" w:rsidP="0037133B">
            <w:pPr>
              <w:spacing w:after="0" w:line="240" w:lineRule="auto"/>
              <w:jc w:val="both"/>
              <w:rPr>
                <w:rFonts w:ascii="Arial" w:eastAsia="Times New Roman" w:hAnsi="Arial" w:cs="Arial"/>
                <w:color w:val="000000"/>
                <w:lang w:eastAsia="es-CO"/>
              </w:rPr>
            </w:pPr>
            <w:r w:rsidRPr="00BC0560">
              <w:rPr>
                <w:rFonts w:ascii="Arial" w:eastAsia="Times New Roman" w:hAnsi="Arial" w:cs="Arial"/>
                <w:color w:val="000000"/>
                <w:lang w:eastAsia="es-CO"/>
              </w:rPr>
              <w:t>En firme las decisiones antes señaladas, se debe: </w:t>
            </w:r>
          </w:p>
          <w:p w14:paraId="2CD0CCD0" w14:textId="6C4766F2" w:rsidR="00BC0560" w:rsidRPr="00BC0560" w:rsidRDefault="00BC0560" w:rsidP="0037133B">
            <w:pPr>
              <w:spacing w:after="0" w:line="240" w:lineRule="auto"/>
              <w:jc w:val="both"/>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01621B0" w14:textId="3429C49C" w:rsidR="0037133B" w:rsidRPr="0037133B" w:rsidRDefault="00BC0560" w:rsidP="0037133B">
            <w:pPr>
              <w:spacing w:after="0" w:line="240" w:lineRule="auto"/>
              <w:ind w:left="708"/>
              <w:jc w:val="both"/>
              <w:rPr>
                <w:rFonts w:ascii="Times New Roman" w:eastAsia="Times New Roman" w:hAnsi="Times New Roman" w:cs="Times New Roman"/>
                <w:sz w:val="24"/>
                <w:szCs w:val="24"/>
                <w:u w:val="single"/>
                <w:lang w:eastAsia="es-CO"/>
              </w:rPr>
            </w:pPr>
            <w:r w:rsidRPr="00BC0560">
              <w:rPr>
                <w:rFonts w:ascii="Arial" w:eastAsia="Times New Roman" w:hAnsi="Arial" w:cs="Arial"/>
                <w:color w:val="000000"/>
                <w:lang w:eastAsia="es-CO"/>
              </w:rPr>
              <w:t>Correr traslado para alegar de conclusión en la forma prevista en el inciso final del artículo 181 del CPACA, y</w:t>
            </w:r>
            <w:r w:rsidR="0037133B">
              <w:rPr>
                <w:rFonts w:ascii="Arial" w:eastAsia="Times New Roman" w:hAnsi="Arial" w:cs="Arial"/>
                <w:i/>
                <w:iCs/>
                <w:color w:val="000000"/>
                <w:u w:val="single"/>
                <w:lang w:eastAsia="es-CO"/>
              </w:rPr>
              <w:t xml:space="preserve"> </w:t>
            </w:r>
            <w:r w:rsidR="0037133B">
              <w:rPr>
                <w:rFonts w:ascii="Arial" w:eastAsia="Times New Roman" w:hAnsi="Arial" w:cs="Arial"/>
                <w:i/>
                <w:iCs/>
                <w:color w:val="000000"/>
                <w:u w:val="single"/>
                <w:lang w:eastAsia="es-CO"/>
              </w:rPr>
              <w:t>X</w:t>
            </w:r>
          </w:p>
          <w:p w14:paraId="0CEE636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DF9982D" w14:textId="77777777" w:rsidR="0037133B" w:rsidRPr="0037133B" w:rsidRDefault="00BC0560" w:rsidP="0037133B">
            <w:pPr>
              <w:spacing w:after="0" w:line="240" w:lineRule="auto"/>
              <w:ind w:left="708"/>
              <w:jc w:val="both"/>
              <w:rPr>
                <w:rFonts w:ascii="Times New Roman" w:eastAsia="Times New Roman" w:hAnsi="Times New Roman" w:cs="Times New Roman"/>
                <w:sz w:val="24"/>
                <w:szCs w:val="24"/>
                <w:u w:val="single"/>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37133B">
              <w:rPr>
                <w:rFonts w:ascii="Arial" w:eastAsia="Times New Roman" w:hAnsi="Arial" w:cs="Arial"/>
                <w:i/>
                <w:iCs/>
                <w:color w:val="000000"/>
                <w:u w:val="single"/>
                <w:lang w:eastAsia="es-CO"/>
              </w:rPr>
              <w:t>X</w:t>
            </w:r>
          </w:p>
          <w:p w14:paraId="1B78824D" w14:textId="3B4FB3A4"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92B86A8"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5D9CE3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FC8350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1EA7E1E1"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29914A62"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45DF5CAE" w14:textId="23253683"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R// En el término de traslado de alegados, el apoderado de la parte actora present</w:t>
            </w:r>
            <w:r w:rsidR="00090329">
              <w:rPr>
                <w:rFonts w:ascii="Arial" w:eastAsia="Times New Roman" w:hAnsi="Arial" w:cs="Arial"/>
                <w:b/>
                <w:color w:val="000000"/>
                <w:lang w:eastAsia="es-CO"/>
              </w:rPr>
              <w:t>ó</w:t>
            </w:r>
            <w:r w:rsidRPr="009E03CD">
              <w:rPr>
                <w:rFonts w:ascii="Arial" w:eastAsia="Times New Roman" w:hAnsi="Arial" w:cs="Arial"/>
                <w:b/>
                <w:color w:val="000000"/>
                <w:lang w:eastAsia="es-CO"/>
              </w:rPr>
              <w:t xml:space="preserve"> su escrito de al</w:t>
            </w:r>
            <w:r w:rsidR="009132E2">
              <w:rPr>
                <w:rFonts w:ascii="Arial" w:eastAsia="Times New Roman" w:hAnsi="Arial" w:cs="Arial"/>
                <w:b/>
                <w:color w:val="000000"/>
                <w:lang w:eastAsia="es-CO"/>
              </w:rPr>
              <w:t xml:space="preserve">egaciones y se </w:t>
            </w:r>
            <w:r w:rsidR="00090329">
              <w:rPr>
                <w:rFonts w:ascii="Arial" w:eastAsia="Times New Roman" w:hAnsi="Arial" w:cs="Arial"/>
                <w:b/>
                <w:color w:val="000000"/>
                <w:lang w:eastAsia="es-CO"/>
              </w:rPr>
              <w:t xml:space="preserve">procederá a </w:t>
            </w:r>
            <w:r w:rsidR="009132E2">
              <w:rPr>
                <w:rFonts w:ascii="Arial" w:eastAsia="Times New Roman" w:hAnsi="Arial" w:cs="Arial"/>
                <w:b/>
                <w:color w:val="000000"/>
                <w:lang w:eastAsia="es-CO"/>
              </w:rPr>
              <w:t xml:space="preserve">dictar </w:t>
            </w:r>
            <w:r w:rsidRPr="009E03CD">
              <w:rPr>
                <w:rFonts w:ascii="Arial" w:eastAsia="Times New Roman" w:hAnsi="Arial" w:cs="Arial"/>
                <w:b/>
                <w:color w:val="000000"/>
                <w:lang w:eastAsia="es-CO"/>
              </w:rPr>
              <w:t xml:space="preserve">sentencia anticipada </w:t>
            </w:r>
            <w:r w:rsidR="009132E2">
              <w:rPr>
                <w:rFonts w:ascii="Arial" w:eastAsia="Times New Roman" w:hAnsi="Arial" w:cs="Arial"/>
                <w:b/>
                <w:color w:val="000000"/>
                <w:lang w:eastAsia="es-CO"/>
              </w:rPr>
              <w:t>donde se accederá a</w:t>
            </w:r>
            <w:r>
              <w:rPr>
                <w:rFonts w:ascii="Arial" w:eastAsia="Times New Roman" w:hAnsi="Arial" w:cs="Arial"/>
                <w:b/>
                <w:color w:val="000000"/>
                <w:lang w:eastAsia="es-CO"/>
              </w:rPr>
              <w:t xml:space="preserve"> </w:t>
            </w:r>
            <w:r w:rsidR="009132E2">
              <w:rPr>
                <w:rFonts w:ascii="Arial" w:eastAsia="Times New Roman" w:hAnsi="Arial" w:cs="Arial"/>
                <w:b/>
                <w:color w:val="000000"/>
                <w:lang w:eastAsia="es-CO"/>
              </w:rPr>
              <w:t>las pretensiones de la demanda.</w:t>
            </w:r>
          </w:p>
          <w:p w14:paraId="24F35934"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3ED0D87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3E4DE" w14:textId="77777777" w:rsidR="00BC0560" w:rsidRPr="00BC0560" w:rsidRDefault="00BC0560" w:rsidP="00090329">
            <w:pPr>
              <w:numPr>
                <w:ilvl w:val="0"/>
                <w:numId w:val="6"/>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34CFC14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135EC0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2CAD77D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15DBCAD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2C00D85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7778932"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en el proceso intervienen litisconsortes necesarios, la petición deberá realizarse conjuntamente con estos;</w:t>
            </w:r>
          </w:p>
          <w:p w14:paraId="7FD720F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B18DA2D"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0376FBF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6AC0F51"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11D443D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73B1F11"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2239D1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B4EC4B0"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57DC7066"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393F40AC"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C234A"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05B2CF9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7D271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1F4BBF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80B1FF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1DD68C3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ACEF8DF"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012E4E6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88221D3"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6358912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7C4F03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3B496FF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0DB27"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18044AC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7B46A9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5F69D73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A72CB1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20E56D2C" w14:textId="3235E118"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C99FFBD"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Se dictará sentencia anticipada de manera inmediata, en aplicación del artículo 176 del CPACA; pero</w:t>
            </w:r>
          </w:p>
          <w:p w14:paraId="5AF4A57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67C9BB8"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56EEB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B55875A"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0B364032"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B5A3519"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090329"/>
    <w:rsid w:val="000C02B7"/>
    <w:rsid w:val="00287903"/>
    <w:rsid w:val="00341455"/>
    <w:rsid w:val="0037133B"/>
    <w:rsid w:val="004E4475"/>
    <w:rsid w:val="006B08B0"/>
    <w:rsid w:val="008C66DF"/>
    <w:rsid w:val="009132E2"/>
    <w:rsid w:val="009E03CD"/>
    <w:rsid w:val="00B530D5"/>
    <w:rsid w:val="00B625A2"/>
    <w:rsid w:val="00B952B0"/>
    <w:rsid w:val="00BC0560"/>
    <w:rsid w:val="00D454B2"/>
    <w:rsid w:val="00D735D0"/>
    <w:rsid w:val="00E404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AF57"/>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3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994</Words>
  <Characters>5473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Juzgado 03 Administrativo - N. De Santander - Cucuta</cp:lastModifiedBy>
  <cp:revision>11</cp:revision>
  <dcterms:created xsi:type="dcterms:W3CDTF">2021-09-04T16:11:00Z</dcterms:created>
  <dcterms:modified xsi:type="dcterms:W3CDTF">2021-09-04T16:17:00Z</dcterms:modified>
</cp:coreProperties>
</file>