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F5309"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31D14355"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4410DD2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6013A18"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081EA082"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1A006363"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1BF17D5F"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1A636607" w14:textId="410B6552" w:rsidR="005B7EFE" w:rsidRDefault="005B7EFE" w:rsidP="005B7EFE">
      <w:pPr>
        <w:shd w:val="clear" w:color="auto" w:fill="FFFFFF"/>
        <w:spacing w:before="100" w:beforeAutospacing="1" w:after="100" w:afterAutospacing="1" w:line="240" w:lineRule="auto"/>
        <w:rPr>
          <w:rFonts w:ascii="Montserrat" w:eastAsia="Times New Roman" w:hAnsi="Montserrat" w:cs="Times New Roman"/>
          <w:color w:val="495057"/>
          <w:sz w:val="21"/>
          <w:szCs w:val="21"/>
          <w:lang w:eastAsia="es-CO"/>
        </w:rPr>
      </w:pPr>
      <w:r>
        <w:rPr>
          <w:rFonts w:ascii="Arial" w:eastAsia="Times New Roman" w:hAnsi="Arial" w:cs="Arial"/>
          <w:color w:val="495057"/>
          <w:lang w:val="es-MX" w:eastAsia="es-CO"/>
        </w:rPr>
        <w:t xml:space="preserve">Elaborada por: </w:t>
      </w:r>
      <w:r w:rsidR="00BB1AD1">
        <w:rPr>
          <w:rFonts w:ascii="Arial" w:eastAsia="Times New Roman" w:hAnsi="Arial" w:cs="Arial"/>
          <w:color w:val="495057"/>
          <w:lang w:val="es-MX" w:eastAsia="es-CO"/>
        </w:rPr>
        <w:t>Olga Lucia Prieto Ramirez</w:t>
      </w:r>
    </w:p>
    <w:p w14:paraId="724DDD14" w14:textId="724E4D31" w:rsidR="005B7EFE" w:rsidRDefault="005B7EFE" w:rsidP="005B7EFE">
      <w:pPr>
        <w:shd w:val="clear" w:color="auto" w:fill="FFFFFF"/>
        <w:spacing w:before="100" w:beforeAutospacing="1" w:after="100" w:afterAutospacing="1" w:line="240" w:lineRule="auto"/>
        <w:rPr>
          <w:rFonts w:ascii="Montserrat" w:eastAsia="Times New Roman" w:hAnsi="Montserrat" w:cs="Times New Roman"/>
          <w:color w:val="495057"/>
          <w:sz w:val="21"/>
          <w:szCs w:val="21"/>
          <w:lang w:eastAsia="es-CO"/>
        </w:rPr>
      </w:pPr>
      <w:r>
        <w:rPr>
          <w:rFonts w:ascii="Arial" w:eastAsia="Times New Roman" w:hAnsi="Arial" w:cs="Arial"/>
          <w:color w:val="495057"/>
          <w:lang w:val="es-MX" w:eastAsia="es-CO"/>
        </w:rPr>
        <w:t>Fecha:   2</w:t>
      </w:r>
      <w:r w:rsidR="00BB1AD1">
        <w:rPr>
          <w:rFonts w:ascii="Arial" w:eastAsia="Times New Roman" w:hAnsi="Arial" w:cs="Arial"/>
          <w:color w:val="495057"/>
          <w:lang w:val="es-MX" w:eastAsia="es-CO"/>
        </w:rPr>
        <w:t>6</w:t>
      </w:r>
      <w:r>
        <w:rPr>
          <w:rFonts w:ascii="Arial" w:eastAsia="Times New Roman" w:hAnsi="Arial" w:cs="Arial"/>
          <w:color w:val="495057"/>
          <w:lang w:val="es-MX" w:eastAsia="es-CO"/>
        </w:rPr>
        <w:t xml:space="preserve"> </w:t>
      </w:r>
      <w:r w:rsidR="00BB1AD1">
        <w:rPr>
          <w:rFonts w:ascii="Arial" w:eastAsia="Times New Roman" w:hAnsi="Arial" w:cs="Arial"/>
          <w:color w:val="495057"/>
          <w:lang w:val="es-MX" w:eastAsia="es-CO"/>
        </w:rPr>
        <w:t>de</w:t>
      </w:r>
      <w:r>
        <w:rPr>
          <w:rFonts w:ascii="Arial" w:eastAsia="Times New Roman" w:hAnsi="Arial" w:cs="Arial"/>
          <w:color w:val="495057"/>
          <w:lang w:val="es-MX" w:eastAsia="es-CO"/>
        </w:rPr>
        <w:t xml:space="preserve"> </w:t>
      </w:r>
      <w:r w:rsidR="00BB1AD1">
        <w:rPr>
          <w:rFonts w:ascii="Arial" w:eastAsia="Times New Roman" w:hAnsi="Arial" w:cs="Arial"/>
          <w:color w:val="495057"/>
          <w:lang w:val="es-MX" w:eastAsia="es-CO"/>
        </w:rPr>
        <w:t>agosto</w:t>
      </w:r>
      <w:r>
        <w:rPr>
          <w:rFonts w:ascii="Arial" w:eastAsia="Times New Roman" w:hAnsi="Arial" w:cs="Arial"/>
          <w:color w:val="495057"/>
          <w:lang w:val="es-MX" w:eastAsia="es-CO"/>
        </w:rPr>
        <w:t xml:space="preserve"> DE 2021</w:t>
      </w:r>
    </w:p>
    <w:p w14:paraId="30272D7F" w14:textId="77777777" w:rsidR="005B7EFE" w:rsidRDefault="005B7EFE" w:rsidP="005B7EFE">
      <w:pPr>
        <w:shd w:val="clear" w:color="auto" w:fill="FFFFFF"/>
        <w:spacing w:before="100" w:beforeAutospacing="1" w:after="100" w:afterAutospacing="1" w:line="240" w:lineRule="auto"/>
        <w:rPr>
          <w:rFonts w:ascii="Montserrat" w:eastAsia="Times New Roman" w:hAnsi="Montserrat" w:cs="Times New Roman"/>
          <w:color w:val="495057"/>
          <w:sz w:val="21"/>
          <w:szCs w:val="21"/>
          <w:lang w:eastAsia="es-CO"/>
        </w:rPr>
      </w:pPr>
      <w:r>
        <w:rPr>
          <w:rFonts w:ascii="Arial" w:eastAsia="Times New Roman" w:hAnsi="Arial" w:cs="Arial"/>
          <w:color w:val="495057"/>
          <w:lang w:val="es-MX" w:eastAsia="es-CO"/>
        </w:rPr>
        <w:t>Medio de control: NULIDAD Y RESTABLECIMIENTO</w:t>
      </w:r>
    </w:p>
    <w:p w14:paraId="6A0923E5" w14:textId="77777777" w:rsidR="005B7EFE" w:rsidRDefault="005B7EFE" w:rsidP="005B7EFE">
      <w:pPr>
        <w:shd w:val="clear" w:color="auto" w:fill="FFFFFF"/>
        <w:spacing w:before="100" w:beforeAutospacing="1" w:after="100" w:afterAutospacing="1" w:line="240" w:lineRule="auto"/>
        <w:rPr>
          <w:rFonts w:ascii="Montserrat" w:eastAsia="Times New Roman" w:hAnsi="Montserrat" w:cs="Times New Roman"/>
          <w:color w:val="495057"/>
          <w:sz w:val="21"/>
          <w:szCs w:val="21"/>
          <w:lang w:eastAsia="es-CO"/>
        </w:rPr>
      </w:pPr>
      <w:r>
        <w:rPr>
          <w:rFonts w:ascii="Arial" w:eastAsia="Times New Roman" w:hAnsi="Arial" w:cs="Arial"/>
          <w:color w:val="495057"/>
          <w:lang w:val="es-MX" w:eastAsia="es-CO"/>
        </w:rPr>
        <w:t>Demandante: </w:t>
      </w:r>
      <w:r>
        <w:rPr>
          <w:rFonts w:ascii="Calibri" w:eastAsia="Times New Roman" w:hAnsi="Calibri" w:cs="Calibri"/>
          <w:b/>
          <w:bCs/>
          <w:color w:val="495057"/>
          <w:sz w:val="24"/>
          <w:szCs w:val="24"/>
          <w:lang w:eastAsia="es-CO"/>
        </w:rPr>
        <w:t>JOSE OSCAR TORO RODRIGUEZ</w:t>
      </w:r>
    </w:p>
    <w:p w14:paraId="7BB30252" w14:textId="77777777" w:rsidR="005B7EFE" w:rsidRDefault="005B7EFE" w:rsidP="005B7EFE">
      <w:pPr>
        <w:shd w:val="clear" w:color="auto" w:fill="FFFFFF"/>
        <w:spacing w:before="100" w:beforeAutospacing="1" w:after="100" w:afterAutospacing="1" w:line="240" w:lineRule="auto"/>
        <w:rPr>
          <w:rFonts w:ascii="Montserrat" w:eastAsia="Times New Roman" w:hAnsi="Montserrat" w:cs="Times New Roman"/>
          <w:color w:val="495057"/>
          <w:sz w:val="21"/>
          <w:szCs w:val="21"/>
          <w:lang w:eastAsia="es-CO"/>
        </w:rPr>
      </w:pPr>
      <w:r>
        <w:rPr>
          <w:rFonts w:ascii="Arial" w:eastAsia="Times New Roman" w:hAnsi="Arial" w:cs="Arial"/>
          <w:color w:val="495057"/>
          <w:lang w:val="es-MX" w:eastAsia="es-CO"/>
        </w:rPr>
        <w:t>Demandado:</w:t>
      </w:r>
      <w:r>
        <w:rPr>
          <w:rFonts w:ascii="Calibri" w:eastAsia="Times New Roman" w:hAnsi="Calibri" w:cs="Calibri"/>
          <w:b/>
          <w:bCs/>
          <w:color w:val="495057"/>
          <w:lang w:eastAsia="es-CO"/>
        </w:rPr>
        <w:t> </w:t>
      </w:r>
      <w:r>
        <w:rPr>
          <w:rFonts w:ascii="Arial" w:eastAsia="Times New Roman" w:hAnsi="Arial" w:cs="Arial"/>
          <w:b/>
          <w:bCs/>
          <w:color w:val="495057"/>
          <w:lang w:eastAsia="es-CO"/>
        </w:rPr>
        <w:t>NACIÓN-FONDO DE PRESTACIONES SOCIALES DEL MAGISTERIO-DEPARTAMENTO DEL VALLE DEL CAUCA</w:t>
      </w:r>
    </w:p>
    <w:p w14:paraId="1D6D06D7"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4F6F0AC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C341A"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3B57CD0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261112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50DC0B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4A9F4F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272794D4"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34854E7A" w14:textId="77777777" w:rsidR="00070AF2" w:rsidRDefault="00B530D5" w:rsidP="008C160E">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w:t>
            </w:r>
            <w:r w:rsidR="00070AF2">
              <w:rPr>
                <w:rFonts w:ascii="Times New Roman" w:eastAsia="Times New Roman" w:hAnsi="Times New Roman" w:cs="Times New Roman"/>
                <w:b/>
                <w:sz w:val="24"/>
                <w:szCs w:val="24"/>
                <w:lang w:eastAsia="es-CO"/>
              </w:rPr>
              <w:t xml:space="preserve"> El </w:t>
            </w:r>
            <w:r w:rsidRPr="00D454B2">
              <w:rPr>
                <w:rFonts w:ascii="Times New Roman" w:eastAsia="Times New Roman" w:hAnsi="Times New Roman" w:cs="Times New Roman"/>
                <w:b/>
                <w:sz w:val="24"/>
                <w:szCs w:val="24"/>
                <w:lang w:eastAsia="es-CO"/>
              </w:rPr>
              <w:t xml:space="preserve"> Término de </w:t>
            </w:r>
            <w:r w:rsidR="00070AF2">
              <w:rPr>
                <w:rFonts w:ascii="Times New Roman" w:eastAsia="Times New Roman" w:hAnsi="Times New Roman" w:cs="Times New Roman"/>
                <w:b/>
                <w:sz w:val="24"/>
                <w:szCs w:val="24"/>
                <w:lang w:eastAsia="es-CO"/>
              </w:rPr>
              <w:t xml:space="preserve">traslado de </w:t>
            </w:r>
            <w:r w:rsidRPr="00D454B2">
              <w:rPr>
                <w:rFonts w:ascii="Times New Roman" w:eastAsia="Times New Roman" w:hAnsi="Times New Roman" w:cs="Times New Roman"/>
                <w:b/>
                <w:sz w:val="24"/>
                <w:szCs w:val="24"/>
                <w:lang w:eastAsia="es-CO"/>
              </w:rPr>
              <w:t xml:space="preserve">la demanda se encuentra vencido y </w:t>
            </w:r>
            <w:r w:rsidR="008C160E">
              <w:rPr>
                <w:rFonts w:ascii="Times New Roman" w:eastAsia="Times New Roman" w:hAnsi="Times New Roman" w:cs="Times New Roman"/>
                <w:b/>
                <w:sz w:val="24"/>
                <w:szCs w:val="24"/>
                <w:lang w:eastAsia="es-CO"/>
              </w:rPr>
              <w:t xml:space="preserve"> la parte demandada  propuso excepción previa de no contener la demanda a  todos los litisconsorcios necesarios ya que la demanda vinculaba también al departamento de</w:t>
            </w:r>
            <w:r w:rsidR="00070AF2">
              <w:rPr>
                <w:rFonts w:ascii="Times New Roman" w:eastAsia="Times New Roman" w:hAnsi="Times New Roman" w:cs="Times New Roman"/>
                <w:b/>
                <w:sz w:val="24"/>
                <w:szCs w:val="24"/>
                <w:lang w:eastAsia="es-CO"/>
              </w:rPr>
              <w:t>l Valle del cauca. Situación que fue saneada por la Juez, dándole traslado. Quien a su vez alega falta de legitimación por pasiva.</w:t>
            </w:r>
          </w:p>
          <w:p w14:paraId="79206067" w14:textId="77777777" w:rsidR="00070AF2" w:rsidRDefault="00070AF2" w:rsidP="008C160E">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 xml:space="preserve">&gt;A pesar de que la demanda se </w:t>
            </w:r>
            <w:proofErr w:type="spellStart"/>
            <w:r>
              <w:rPr>
                <w:rFonts w:ascii="Times New Roman" w:eastAsia="Times New Roman" w:hAnsi="Times New Roman" w:cs="Times New Roman"/>
                <w:b/>
                <w:sz w:val="24"/>
                <w:szCs w:val="24"/>
                <w:lang w:eastAsia="es-CO"/>
              </w:rPr>
              <w:t>presento</w:t>
            </w:r>
            <w:proofErr w:type="spellEnd"/>
            <w:r>
              <w:rPr>
                <w:rFonts w:ascii="Times New Roman" w:eastAsia="Times New Roman" w:hAnsi="Times New Roman" w:cs="Times New Roman"/>
                <w:b/>
                <w:sz w:val="24"/>
                <w:szCs w:val="24"/>
                <w:lang w:eastAsia="es-CO"/>
              </w:rPr>
              <w:t xml:space="preserve"> antes de la ley 2080/2021, se aplicó dicha normatividad por cuanto  se trataba de sanción moratoria, y no existían pruebas que practicar.</w:t>
            </w:r>
          </w:p>
          <w:p w14:paraId="6A1F578F" w14:textId="77777777" w:rsidR="00BC0560" w:rsidRPr="00BC0560" w:rsidRDefault="008C160E" w:rsidP="008C160E">
            <w:pPr>
              <w:spacing w:after="24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sz w:val="24"/>
                <w:szCs w:val="24"/>
                <w:lang w:eastAsia="es-CO"/>
              </w:rPr>
              <w:t xml:space="preserve"> </w:t>
            </w:r>
            <w:r w:rsidR="00BC0560" w:rsidRPr="00BC0560">
              <w:rPr>
                <w:rFonts w:ascii="Arial" w:eastAsia="Times New Roman" w:hAnsi="Arial" w:cs="Arial"/>
                <w:b/>
                <w:bCs/>
                <w:i/>
                <w:iCs/>
                <w:color w:val="000000"/>
                <w:sz w:val="18"/>
                <w:szCs w:val="18"/>
                <w:lang w:eastAsia="es-CO"/>
              </w:rPr>
              <w:t>Nota:</w:t>
            </w:r>
            <w:r w:rsidR="00BC0560" w:rsidRPr="00BC0560">
              <w:rPr>
                <w:rFonts w:ascii="Arial" w:eastAsia="Times New Roman" w:hAnsi="Arial" w:cs="Arial"/>
                <w:i/>
                <w:iCs/>
                <w:color w:val="000000"/>
                <w:lang w:eastAsia="es-CO"/>
              </w:rPr>
              <w:t xml:space="preserve"> </w:t>
            </w:r>
            <w:r w:rsidR="00BC0560"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00BC0560" w:rsidRPr="00BC0560">
              <w:rPr>
                <w:rFonts w:ascii="Arial" w:eastAsia="Times New Roman" w:hAnsi="Arial" w:cs="Arial"/>
                <w:i/>
                <w:iCs/>
                <w:color w:val="000000"/>
                <w:lang w:eastAsia="es-CO"/>
              </w:rPr>
              <w:t>. </w:t>
            </w:r>
          </w:p>
        </w:tc>
      </w:tr>
      <w:tr w:rsidR="00BC0560" w:rsidRPr="00BC0560" w14:paraId="17B508A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E2BFE"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3EEAA11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A32C5E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18DEDA8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8723BF1"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117270A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E58AA48"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5A89706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5AA477B"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_______</w:t>
            </w:r>
          </w:p>
          <w:p w14:paraId="508523A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B4D18C"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19D7BD9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490A8D1"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3CA9096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BDBA0F2"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3BA3189"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490B5BDD"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53D01A4E" w14:textId="77777777" w:rsidR="00D454B2" w:rsidRPr="00D454B2" w:rsidRDefault="00070AF2" w:rsidP="00D454B2">
            <w:pPr>
              <w:spacing w:after="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R// En</w:t>
            </w:r>
            <w:r w:rsidR="00D454B2" w:rsidRPr="00D454B2">
              <w:rPr>
                <w:rFonts w:ascii="Times New Roman" w:eastAsia="Times New Roman" w:hAnsi="Times New Roman" w:cs="Times New Roman"/>
                <w:b/>
                <w:sz w:val="24"/>
                <w:szCs w:val="24"/>
                <w:lang w:eastAsia="es-CO"/>
              </w:rPr>
              <w:t xml:space="preserve"> auto </w:t>
            </w:r>
            <w:r w:rsidR="00CA47AB">
              <w:rPr>
                <w:rFonts w:ascii="Times New Roman" w:eastAsia="Times New Roman" w:hAnsi="Times New Roman" w:cs="Times New Roman"/>
                <w:b/>
                <w:sz w:val="24"/>
                <w:szCs w:val="24"/>
                <w:lang w:eastAsia="es-CO"/>
              </w:rPr>
              <w:t xml:space="preserve"> 76 del 28 de febrero del 2021 corre traslado para alegar e indica porque va a dictar sentencia anticipada,   </w:t>
            </w:r>
            <w:r w:rsidR="00D454B2" w:rsidRPr="00D454B2">
              <w:rPr>
                <w:rFonts w:ascii="Times New Roman" w:eastAsia="Times New Roman" w:hAnsi="Times New Roman" w:cs="Times New Roman"/>
                <w:b/>
                <w:sz w:val="24"/>
                <w:szCs w:val="24"/>
                <w:lang w:eastAsia="es-CO"/>
              </w:rPr>
              <w:t>fue dictado en debida forma, notificado  y se encuentra debidamente ejecutoriado.</w:t>
            </w:r>
          </w:p>
          <w:p w14:paraId="718E0730"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70B6A902"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2A7E933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4E23E3B" w14:textId="77777777"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14:paraId="067A3F7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AE09C02"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35CDB6E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FEF2612"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04944C1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837059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01DF1EEC"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w:t>
            </w:r>
            <w:r w:rsidRPr="00BC0560">
              <w:rPr>
                <w:rFonts w:ascii="Arial" w:eastAsia="Times New Roman" w:hAnsi="Arial" w:cs="Arial"/>
                <w:i/>
                <w:iCs/>
                <w:color w:val="000000"/>
                <w:sz w:val="18"/>
                <w:szCs w:val="18"/>
                <w:lang w:eastAsia="es-CO"/>
              </w:rPr>
              <w:lastRenderedPageBreak/>
              <w:t>alegar. (Ver providencia de la Sección Segunda – subsección B del Consejo de Estado. Consejera Ponente: Sandra Lisset Ibarra Vélez. veintiuno (21) de junio de dos mil veintiuno (2021). Referencia del expediente: 11001032500020180079100 (3026-2018). </w:t>
            </w:r>
          </w:p>
          <w:p w14:paraId="67B1F0C4"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306E6F6A" w14:textId="77777777" w:rsidR="00BC0560" w:rsidRPr="00BC0560" w:rsidRDefault="009E03CD" w:rsidP="00973843">
            <w:pPr>
              <w:spacing w:after="0" w:line="240" w:lineRule="auto"/>
              <w:jc w:val="both"/>
              <w:rPr>
                <w:rFonts w:ascii="Times New Roman" w:eastAsia="Times New Roman" w:hAnsi="Times New Roman" w:cs="Times New Roman"/>
                <w:sz w:val="24"/>
                <w:szCs w:val="24"/>
                <w:lang w:eastAsia="es-CO"/>
              </w:rPr>
            </w:pPr>
            <w:r w:rsidRPr="009E03CD">
              <w:rPr>
                <w:rFonts w:ascii="Arial" w:eastAsia="Times New Roman" w:hAnsi="Arial" w:cs="Arial"/>
                <w:b/>
                <w:color w:val="000000"/>
                <w:lang w:eastAsia="es-CO"/>
              </w:rPr>
              <w:t xml:space="preserve">R// En </w:t>
            </w:r>
            <w:r w:rsidR="005B7EFE">
              <w:rPr>
                <w:rFonts w:ascii="Arial" w:eastAsia="Times New Roman" w:hAnsi="Arial" w:cs="Arial"/>
                <w:b/>
                <w:color w:val="000000"/>
                <w:lang w:eastAsia="es-CO"/>
              </w:rPr>
              <w:t>el término de traslado de alegat</w:t>
            </w:r>
            <w:r w:rsidRPr="009E03CD">
              <w:rPr>
                <w:rFonts w:ascii="Arial" w:eastAsia="Times New Roman" w:hAnsi="Arial" w:cs="Arial"/>
                <w:b/>
                <w:color w:val="000000"/>
                <w:lang w:eastAsia="es-CO"/>
              </w:rPr>
              <w:t>os, el apoderado de la parte actora presenta su escrito de alegaciones y finalmente se dicta sentencia  anticipada</w:t>
            </w:r>
            <w:r w:rsidR="00973843">
              <w:rPr>
                <w:rFonts w:ascii="Arial" w:eastAsia="Times New Roman" w:hAnsi="Arial" w:cs="Arial"/>
                <w:b/>
                <w:color w:val="000000"/>
                <w:lang w:eastAsia="es-CO"/>
              </w:rPr>
              <w:t>.</w:t>
            </w:r>
          </w:p>
        </w:tc>
      </w:tr>
      <w:tr w:rsidR="00BC0560" w:rsidRPr="00BC0560" w14:paraId="3F64A76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AC684"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93E7E7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D872E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7607C597"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233423A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2249540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2296283"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38B530D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A1FFF61"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5894DA1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17FAADA"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79CA48C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5612F7"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61227B8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2E8BB50"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3566AF6D"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7732555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67A0D"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14:paraId="43350C9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5306B0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0D86962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F3C23B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413449B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DFC46DA"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Se correrá traslado para alegar, y en la providencia que así lo ordene, el juzgador precisará sobre cuál o cuáles de las excepciones se pronunciará; y</w:t>
            </w:r>
          </w:p>
          <w:p w14:paraId="2236BF1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4E6B91"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40815DB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DF4E642"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1804661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0722C"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14:paraId="6928E92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185A84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5F968D1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DAF22D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32D76AA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D22F0B2"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10788B5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B868F06"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7429D42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3BC1F68"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30D806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7BCD0BF7"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070AF2"/>
    <w:rsid w:val="005B7EFE"/>
    <w:rsid w:val="008C160E"/>
    <w:rsid w:val="008C66DF"/>
    <w:rsid w:val="00973843"/>
    <w:rsid w:val="009E03CD"/>
    <w:rsid w:val="00B530D5"/>
    <w:rsid w:val="00B625A2"/>
    <w:rsid w:val="00BB1AD1"/>
    <w:rsid w:val="00BC0560"/>
    <w:rsid w:val="00CA47AB"/>
    <w:rsid w:val="00D454B2"/>
    <w:rsid w:val="00F06F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726E"/>
  <w15:docId w15:val="{21391C25-16AA-4522-B1DA-FE598308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 w:id="78265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1060</Words>
  <Characters>5832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 Lucia Prieto Ramirez</cp:lastModifiedBy>
  <cp:revision>2</cp:revision>
  <dcterms:created xsi:type="dcterms:W3CDTF">2021-09-05T23:34:00Z</dcterms:created>
  <dcterms:modified xsi:type="dcterms:W3CDTF">2021-09-05T23:34:00Z</dcterms:modified>
</cp:coreProperties>
</file>