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BD41039"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A43806">
        <w:rPr>
          <w:rFonts w:ascii="Arial" w:eastAsia="Calibri" w:hAnsi="Arial" w:cs="Arial"/>
          <w:lang w:val="es-MX"/>
        </w:rPr>
        <w:t xml:space="preserve"> Noemi Carreño Corpus</w:t>
      </w:r>
    </w:p>
    <w:p w14:paraId="5F7DBDD4" w14:textId="56182B85"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A43806">
        <w:rPr>
          <w:rFonts w:ascii="Arial" w:hAnsi="Arial" w:cs="Arial"/>
          <w:lang w:val="es-MX"/>
        </w:rPr>
        <w:t>septiembre 05 de 2021</w:t>
      </w:r>
      <w:r w:rsidRPr="001F2D25">
        <w:rPr>
          <w:rFonts w:ascii="Arial" w:hAnsi="Arial" w:cs="Arial"/>
          <w:lang w:val="es-MX"/>
        </w:rPr>
        <w:t xml:space="preserve"> </w:t>
      </w:r>
    </w:p>
    <w:p w14:paraId="75E84AC6" w14:textId="59536D0A"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0E1E63">
        <w:rPr>
          <w:rFonts w:ascii="Arial" w:hAnsi="Arial" w:cs="Arial"/>
          <w:lang w:val="es-MX"/>
        </w:rPr>
        <w:t>Nulidad y restablecimiento del derecho</w:t>
      </w:r>
    </w:p>
    <w:p w14:paraId="5A28BA82" w14:textId="6E2B0569" w:rsidR="00A43806" w:rsidRPr="003A0FA3" w:rsidRDefault="00B713D2" w:rsidP="00A43806">
      <w:pPr>
        <w:pStyle w:val="Sinespaciado"/>
        <w:ind w:left="-1134"/>
        <w:rPr>
          <w:rFonts w:ascii="Arial" w:hAnsi="Arial" w:cs="Arial"/>
          <w:lang w:val="es-MX"/>
        </w:rPr>
      </w:pPr>
      <w:r w:rsidRPr="001F2D25">
        <w:rPr>
          <w:rFonts w:ascii="Arial" w:hAnsi="Arial" w:cs="Arial"/>
          <w:lang w:val="es-MX"/>
        </w:rPr>
        <w:t>Demandante:</w:t>
      </w:r>
      <w:r w:rsidR="00A43806">
        <w:rPr>
          <w:rFonts w:ascii="Arial" w:hAnsi="Arial" w:cs="Arial"/>
          <w:lang w:val="es-MX"/>
        </w:rPr>
        <w:t xml:space="preserve"> </w:t>
      </w:r>
      <w:r w:rsidR="000E1E63">
        <w:rPr>
          <w:rFonts w:ascii="Arial" w:hAnsi="Arial" w:cs="Arial"/>
          <w:lang w:val="es-MX"/>
        </w:rPr>
        <w:t xml:space="preserve">Procurar </w:t>
      </w:r>
    </w:p>
    <w:p w14:paraId="1660C8A3" w14:textId="6D35C404" w:rsidR="00B713D2" w:rsidRPr="001F2D25" w:rsidRDefault="00A43806" w:rsidP="00A43806">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w:t>
      </w:r>
      <w:r w:rsidR="000E1E63">
        <w:rPr>
          <w:rFonts w:ascii="Arial" w:hAnsi="Arial" w:cs="Arial"/>
          <w:lang w:val="es-MX"/>
        </w:rPr>
        <w:t xml:space="preserve">Procuraduría General de la Nación y Sara E. </w:t>
      </w:r>
      <w:proofErr w:type="spellStart"/>
      <w:r w:rsidR="000E1E63">
        <w:rPr>
          <w:rFonts w:ascii="Arial" w:hAnsi="Arial" w:cs="Arial"/>
          <w:lang w:val="es-MX"/>
        </w:rPr>
        <w:t>Pechthalt</w:t>
      </w:r>
      <w:proofErr w:type="spellEnd"/>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7D351A0" w:rsidR="00341FFF" w:rsidRPr="001F2D25" w:rsidRDefault="007C50B4" w:rsidP="00222D4A">
            <w:pPr>
              <w:pStyle w:val="Sinespaciado"/>
              <w:rPr>
                <w:rFonts w:ascii="Arial" w:eastAsia="Calibri" w:hAnsi="Arial" w:cs="Arial"/>
                <w:lang w:val="es-MX"/>
              </w:rPr>
            </w:pPr>
            <w:r>
              <w:rPr>
                <w:rFonts w:ascii="Arial" w:hAnsi="Arial" w:cs="Arial"/>
                <w:b/>
                <w:i/>
                <w:noProof/>
              </w:rPr>
              <mc:AlternateContent>
                <mc:Choice Requires="wps">
                  <w:drawing>
                    <wp:anchor distT="0" distB="0" distL="114300" distR="114300" simplePos="0" relativeHeight="251714560" behindDoc="0" locked="0" layoutInCell="1" allowOverlap="1" wp14:anchorId="4F842DC2" wp14:editId="66DC40D6">
                      <wp:simplePos x="0" y="0"/>
                      <wp:positionH relativeFrom="column">
                        <wp:posOffset>3525686</wp:posOffset>
                      </wp:positionH>
                      <wp:positionV relativeFrom="paragraph">
                        <wp:posOffset>155714</wp:posOffset>
                      </wp:positionV>
                      <wp:extent cx="246490" cy="214686"/>
                      <wp:effectExtent l="0" t="0" r="0" b="0"/>
                      <wp:wrapNone/>
                      <wp:docPr id="2" name="Signo de multiplicación 2"/>
                      <wp:cNvGraphicFramePr/>
                      <a:graphic xmlns:a="http://schemas.openxmlformats.org/drawingml/2006/main">
                        <a:graphicData uri="http://schemas.microsoft.com/office/word/2010/wordprocessingShape">
                          <wps:wsp>
                            <wps:cNvSpPr/>
                            <wps:spPr>
                              <a:xfrm>
                                <a:off x="0" y="0"/>
                                <a:ext cx="246490" cy="214686"/>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F26EF" id="Signo de multiplicación 2" o:spid="_x0000_s1026" style="position:absolute;margin-left:277.6pt;margin-top:12.25pt;width:19.4pt;height:16.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6490,21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" path="m42619,70601l75783,32524r47462,41338l170707,32524r33164,38077l161686,107343r42185,36742l170707,182162,123245,140824,75783,182162,42619,144085,84804,107343,42619,70601xe" fillcolor="#5b9bd5 [3204]" strokecolor="#1f4d78 [1604]" strokeweight="1pt">
                      <v:stroke joinstyle="miter"/>
                      <v:path arrowok="t" o:connecttype="custom" o:connectlocs="42619,70601;75783,32524;123245,73862;170707,32524;203871,70601;161686,107343;203871,144085;170707,182162;123245,140824;75783,182162;42619,144085;84804,107343;42619,70601" o:connectangles="0,0,0,0,0,0,0,0,0,0,0,0,0"/>
                    </v:shape>
                  </w:pict>
                </mc:Fallback>
              </mc:AlternateContent>
            </w:r>
            <w:r w:rsidR="00341FFF"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4936A7C7">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80DCE"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048A4706"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C2E54F6" w:rsidR="00341FFF" w:rsidRPr="001F2D25" w:rsidRDefault="005F24AC" w:rsidP="00341FFF">
            <w:pPr>
              <w:pStyle w:val="Sinespaciado"/>
              <w:ind w:left="708"/>
              <w:jc w:val="both"/>
              <w:rPr>
                <w:rFonts w:ascii="Arial" w:hAnsi="Arial" w:cs="Arial"/>
                <w:i/>
              </w:rPr>
            </w:pPr>
            <w:r>
              <w:rPr>
                <w:rFonts w:ascii="Arial" w:eastAsia="Calibri" w:hAnsi="Arial" w:cs="Arial"/>
                <w:noProof/>
              </w:rPr>
              <mc:AlternateContent>
                <mc:Choice Requires="wps">
                  <w:drawing>
                    <wp:anchor distT="0" distB="0" distL="114300" distR="114300" simplePos="0" relativeHeight="251713536" behindDoc="0" locked="0" layoutInCell="1" allowOverlap="1" wp14:anchorId="187E585B" wp14:editId="64FA933D">
                      <wp:simplePos x="0" y="0"/>
                      <wp:positionH relativeFrom="column">
                        <wp:posOffset>1680845</wp:posOffset>
                      </wp:positionH>
                      <wp:positionV relativeFrom="paragraph">
                        <wp:posOffset>271974</wp:posOffset>
                      </wp:positionV>
                      <wp:extent cx="178628" cy="230588"/>
                      <wp:effectExtent l="0" t="0" r="0" b="0"/>
                      <wp:wrapNone/>
                      <wp:docPr id="1" name="Signo de multiplicación 1"/>
                      <wp:cNvGraphicFramePr/>
                      <a:graphic xmlns:a="http://schemas.openxmlformats.org/drawingml/2006/main">
                        <a:graphicData uri="http://schemas.microsoft.com/office/word/2010/wordprocessingShape">
                          <wps:wsp>
                            <wps:cNvSpPr/>
                            <wps:spPr>
                              <a:xfrm>
                                <a:off x="0" y="0"/>
                                <a:ext cx="178628" cy="230588"/>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26EBF" id="Signo de multiplicación 1" o:spid="_x0000_s1026" style="position:absolute;margin-left:132.35pt;margin-top:21.4pt;width:14.05pt;height:18.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628,230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" path="m26295,68246l59509,42517,89314,80992,119119,42517r33214,25729l115886,115294r36447,47048l119119,188071,89314,149596,59509,188071,26295,162342,62742,115294,26295,68246xe" fillcolor="#5b9bd5 [3204]" strokecolor="#1f4d78 [1604]" strokeweight="1pt">
                      <v:stroke joinstyle="miter"/>
                      <v:path arrowok="t" o:connecttype="custom" o:connectlocs="26295,68246;59509,42517;89314,80992;119119,42517;152333,68246;115886,115294;152333,162342;119119,188071;89314,149596;59509,188071;26295,162342;62742,115294;26295,68246" o:connectangles="0,0,0,0,0,0,0,0,0,0,0,0,0"/>
                    </v:shape>
                  </w:pict>
                </mc:Fallback>
              </mc:AlternateContent>
            </w:r>
            <w:r w:rsidR="00341FFF"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00341FFF" w:rsidRPr="001F2D25">
              <w:rPr>
                <w:rFonts w:ascii="Arial" w:hAnsi="Arial" w:cs="Arial"/>
                <w:b/>
                <w:bCs/>
                <w:i/>
              </w:rPr>
              <w:t>c)</w:t>
            </w:r>
            <w:r w:rsidR="00341FFF"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48F124D4" w:rsidR="002F7D1D" w:rsidRDefault="002F7D1D">
      <w:pPr>
        <w:rPr>
          <w:rFonts w:ascii="Arial" w:hAnsi="Arial" w:cs="Arial"/>
        </w:rPr>
      </w:pPr>
    </w:p>
    <w:p w14:paraId="661EB361" w14:textId="42D46C53" w:rsidR="003D618E" w:rsidRDefault="003D618E">
      <w:pPr>
        <w:rPr>
          <w:rFonts w:ascii="Arial" w:hAnsi="Arial" w:cs="Arial"/>
        </w:rPr>
      </w:pPr>
    </w:p>
    <w:p w14:paraId="6A4C8F0E" w14:textId="1619034D" w:rsidR="003D618E" w:rsidRDefault="003D618E">
      <w:pPr>
        <w:rPr>
          <w:rFonts w:ascii="Arial" w:hAnsi="Arial" w:cs="Arial"/>
        </w:rPr>
      </w:pPr>
    </w:p>
    <w:p w14:paraId="58A05413" w14:textId="19C63219" w:rsidR="003D618E" w:rsidRDefault="003D618E">
      <w:pPr>
        <w:rPr>
          <w:rFonts w:ascii="Arial" w:hAnsi="Arial" w:cs="Arial"/>
        </w:rPr>
      </w:pPr>
    </w:p>
    <w:p w14:paraId="637CB0B6" w14:textId="419428D5" w:rsidR="003D618E" w:rsidRDefault="003D618E">
      <w:pPr>
        <w:rPr>
          <w:rFonts w:ascii="Arial" w:hAnsi="Arial" w:cs="Arial"/>
        </w:rPr>
      </w:pPr>
    </w:p>
    <w:p w14:paraId="6C435E5B" w14:textId="77777777" w:rsidR="00C9164A" w:rsidRDefault="00C9164A" w:rsidP="00C9164A">
      <w:pPr>
        <w:spacing w:after="0"/>
        <w:jc w:val="center"/>
        <w:rPr>
          <w:rFonts w:ascii="Arial" w:eastAsia="Times New Roman" w:hAnsi="Arial" w:cs="Arial"/>
          <w:b/>
          <w:sz w:val="24"/>
          <w:szCs w:val="24"/>
          <w:lang w:eastAsia="es-ES"/>
        </w:rPr>
      </w:pPr>
      <w:r>
        <w:rPr>
          <w:rFonts w:ascii="Arial" w:eastAsia="Times New Roman" w:hAnsi="Arial" w:cs="Arial"/>
          <w:b/>
          <w:sz w:val="24"/>
          <w:szCs w:val="24"/>
          <w:lang w:eastAsia="es-ES"/>
        </w:rPr>
        <w:t xml:space="preserve">TRIBUNAL ADMINISTRATIVO DE OLD PROVIDENCE AND </w:t>
      </w:r>
    </w:p>
    <w:p w14:paraId="063D08F6" w14:textId="68CBC4A2" w:rsidR="00C9164A" w:rsidRPr="00C9164A" w:rsidRDefault="00C9164A" w:rsidP="00C9164A">
      <w:pPr>
        <w:spacing w:after="0"/>
        <w:jc w:val="center"/>
        <w:rPr>
          <w:rFonts w:ascii="Arial" w:eastAsia="Times New Roman" w:hAnsi="Arial" w:cs="Arial"/>
          <w:b/>
          <w:sz w:val="24"/>
          <w:szCs w:val="24"/>
          <w:lang w:eastAsia="es-ES"/>
        </w:rPr>
      </w:pPr>
      <w:r>
        <w:rPr>
          <w:rFonts w:ascii="Arial" w:eastAsia="Times New Roman" w:hAnsi="Arial" w:cs="Arial"/>
          <w:b/>
          <w:sz w:val="24"/>
          <w:szCs w:val="24"/>
          <w:lang w:eastAsia="es-ES"/>
        </w:rPr>
        <w:t>SAINT CATHERINE</w:t>
      </w:r>
    </w:p>
    <w:p w14:paraId="44E04273" w14:textId="77777777" w:rsidR="00C9164A" w:rsidRDefault="00C9164A" w:rsidP="003D618E">
      <w:pPr>
        <w:spacing w:after="0"/>
        <w:jc w:val="both"/>
        <w:rPr>
          <w:rFonts w:ascii="Arial" w:eastAsia="Times New Roman" w:hAnsi="Arial" w:cs="Arial"/>
          <w:sz w:val="24"/>
          <w:szCs w:val="24"/>
          <w:lang w:eastAsia="es-ES"/>
        </w:rPr>
      </w:pPr>
    </w:p>
    <w:p w14:paraId="1E0B40FF" w14:textId="1B354DBC" w:rsidR="003D618E" w:rsidRPr="00CA4B93" w:rsidRDefault="003D618E" w:rsidP="003D618E">
      <w:pPr>
        <w:spacing w:after="0"/>
        <w:jc w:val="both"/>
        <w:rPr>
          <w:rFonts w:ascii="Arial" w:eastAsia="Times New Roman" w:hAnsi="Arial" w:cs="Arial"/>
          <w:sz w:val="24"/>
          <w:szCs w:val="24"/>
          <w:lang w:eastAsia="es-ES"/>
        </w:rPr>
      </w:pPr>
      <w:r w:rsidRPr="00CA4B93">
        <w:rPr>
          <w:rFonts w:ascii="Arial" w:eastAsia="Times New Roman" w:hAnsi="Arial" w:cs="Arial"/>
          <w:sz w:val="24"/>
          <w:szCs w:val="24"/>
          <w:lang w:eastAsia="es-ES"/>
        </w:rPr>
        <w:t>Sa</w:t>
      </w:r>
      <w:r w:rsidR="00BC7B54">
        <w:rPr>
          <w:rFonts w:ascii="Arial" w:eastAsia="Times New Roman" w:hAnsi="Arial" w:cs="Arial"/>
          <w:sz w:val="24"/>
          <w:szCs w:val="24"/>
          <w:lang w:eastAsia="es-ES"/>
        </w:rPr>
        <w:t>int Catherine</w:t>
      </w:r>
      <w:r w:rsidRPr="00CA4B93">
        <w:rPr>
          <w:rFonts w:ascii="Arial" w:eastAsia="Times New Roman" w:hAnsi="Arial" w:cs="Arial"/>
          <w:sz w:val="24"/>
          <w:szCs w:val="24"/>
          <w:lang w:eastAsia="es-ES"/>
        </w:rPr>
        <w:t xml:space="preserve">, </w:t>
      </w:r>
      <w:r>
        <w:rPr>
          <w:rFonts w:ascii="Arial" w:eastAsia="Times New Roman" w:hAnsi="Arial" w:cs="Arial"/>
          <w:sz w:val="24"/>
          <w:szCs w:val="24"/>
          <w:lang w:eastAsia="es-ES"/>
        </w:rPr>
        <w:t>cinco</w:t>
      </w:r>
      <w:r>
        <w:rPr>
          <w:rFonts w:ascii="Arial" w:eastAsia="Times New Roman" w:hAnsi="Arial" w:cs="Arial"/>
          <w:sz w:val="24"/>
          <w:szCs w:val="24"/>
          <w:lang w:eastAsia="es-ES"/>
        </w:rPr>
        <w:t xml:space="preserve"> (</w:t>
      </w:r>
      <w:r>
        <w:rPr>
          <w:rFonts w:ascii="Arial" w:eastAsia="Times New Roman" w:hAnsi="Arial" w:cs="Arial"/>
          <w:sz w:val="24"/>
          <w:szCs w:val="24"/>
          <w:lang w:eastAsia="es-ES"/>
        </w:rPr>
        <w:t>05</w:t>
      </w:r>
      <w:r>
        <w:rPr>
          <w:rFonts w:ascii="Arial" w:eastAsia="Times New Roman" w:hAnsi="Arial" w:cs="Arial"/>
          <w:sz w:val="24"/>
          <w:szCs w:val="24"/>
          <w:lang w:eastAsia="es-ES"/>
        </w:rPr>
        <w:t xml:space="preserve">) de septiembre </w:t>
      </w:r>
      <w:r w:rsidRPr="00CA4B93">
        <w:rPr>
          <w:rFonts w:ascii="Arial" w:eastAsia="Times New Roman" w:hAnsi="Arial" w:cs="Arial"/>
          <w:sz w:val="24"/>
          <w:szCs w:val="24"/>
          <w:lang w:eastAsia="es-ES"/>
        </w:rPr>
        <w:t xml:space="preserve">de dos mil </w:t>
      </w:r>
      <w:r>
        <w:rPr>
          <w:rFonts w:ascii="Arial" w:eastAsia="Times New Roman" w:hAnsi="Arial" w:cs="Arial"/>
          <w:sz w:val="24"/>
          <w:szCs w:val="24"/>
          <w:lang w:eastAsia="es-ES"/>
        </w:rPr>
        <w:t>veintiuno (2021)</w:t>
      </w:r>
    </w:p>
    <w:p w14:paraId="30C9447D" w14:textId="77777777" w:rsidR="003D618E" w:rsidRPr="00CA4B93" w:rsidRDefault="003D618E" w:rsidP="003D618E">
      <w:pPr>
        <w:tabs>
          <w:tab w:val="left" w:pos="8310"/>
        </w:tabs>
        <w:spacing w:after="0" w:line="240" w:lineRule="auto"/>
        <w:jc w:val="both"/>
        <w:rPr>
          <w:rFonts w:ascii="Arial" w:eastAsia="Calibri" w:hAnsi="Arial" w:cs="Arial"/>
        </w:rPr>
      </w:pPr>
      <w:r w:rsidRPr="00CA4B93">
        <w:rPr>
          <w:rFonts w:ascii="Arial" w:eastAsia="Calibri" w:hAnsi="Arial" w:cs="Ari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8"/>
        <w:gridCol w:w="5006"/>
      </w:tblGrid>
      <w:tr w:rsidR="003D618E" w:rsidRPr="00CA4B93" w14:paraId="0DD6FD8B" w14:textId="77777777" w:rsidTr="003D618E">
        <w:trPr>
          <w:trHeight w:val="359"/>
        </w:trPr>
        <w:tc>
          <w:tcPr>
            <w:tcW w:w="1747" w:type="pct"/>
            <w:vAlign w:val="center"/>
          </w:tcPr>
          <w:p w14:paraId="34553EAF" w14:textId="77777777" w:rsidR="003D618E" w:rsidRPr="00CA4B93" w:rsidRDefault="003D618E" w:rsidP="0013149F">
            <w:pPr>
              <w:spacing w:after="0"/>
              <w:rPr>
                <w:rFonts w:ascii="Arial" w:hAnsi="Arial" w:cs="Arial"/>
                <w:b/>
                <w:sz w:val="24"/>
                <w:szCs w:val="24"/>
                <w:lang w:val="es-ES"/>
              </w:rPr>
            </w:pPr>
            <w:r w:rsidRPr="00CA4B93">
              <w:rPr>
                <w:rFonts w:ascii="Arial" w:hAnsi="Arial" w:cs="Arial"/>
                <w:b/>
                <w:sz w:val="24"/>
                <w:szCs w:val="24"/>
                <w:lang w:val="es-ES"/>
              </w:rPr>
              <w:t>Medio de control</w:t>
            </w:r>
          </w:p>
        </w:tc>
        <w:tc>
          <w:tcPr>
            <w:tcW w:w="3253" w:type="pct"/>
            <w:vAlign w:val="center"/>
          </w:tcPr>
          <w:p w14:paraId="4552A028" w14:textId="77777777" w:rsidR="003D618E" w:rsidRPr="00DF32CB" w:rsidRDefault="003D618E" w:rsidP="0013149F">
            <w:pPr>
              <w:rPr>
                <w:rFonts w:ascii="Arial" w:hAnsi="Arial" w:cs="Arial"/>
                <w:sz w:val="24"/>
                <w:szCs w:val="24"/>
                <w:lang w:val="es-ES"/>
              </w:rPr>
            </w:pPr>
            <w:r>
              <w:rPr>
                <w:rFonts w:ascii="Arial" w:hAnsi="Arial" w:cs="Arial"/>
                <w:sz w:val="24"/>
                <w:szCs w:val="24"/>
              </w:rPr>
              <w:t>Nulidad y Restablecimiento del Derecho</w:t>
            </w:r>
          </w:p>
        </w:tc>
      </w:tr>
      <w:tr w:rsidR="003D618E" w:rsidRPr="00CA4B93" w14:paraId="577D59B7" w14:textId="77777777" w:rsidTr="003D618E">
        <w:trPr>
          <w:trHeight w:val="345"/>
        </w:trPr>
        <w:tc>
          <w:tcPr>
            <w:tcW w:w="1747" w:type="pct"/>
            <w:vAlign w:val="center"/>
          </w:tcPr>
          <w:p w14:paraId="0BC97D43" w14:textId="77777777" w:rsidR="003D618E" w:rsidRPr="00CA4B93" w:rsidRDefault="003D618E" w:rsidP="0013149F">
            <w:pPr>
              <w:spacing w:after="0"/>
              <w:rPr>
                <w:rFonts w:ascii="Arial" w:hAnsi="Arial" w:cs="Arial"/>
                <w:b/>
                <w:sz w:val="24"/>
                <w:szCs w:val="24"/>
                <w:lang w:val="es-ES"/>
              </w:rPr>
            </w:pPr>
            <w:r w:rsidRPr="00CA4B93">
              <w:rPr>
                <w:rFonts w:ascii="Arial" w:hAnsi="Arial" w:cs="Arial"/>
                <w:b/>
                <w:sz w:val="24"/>
                <w:szCs w:val="24"/>
                <w:lang w:val="es-ES"/>
              </w:rPr>
              <w:t>Radicado</w:t>
            </w:r>
          </w:p>
        </w:tc>
        <w:tc>
          <w:tcPr>
            <w:tcW w:w="3253" w:type="pct"/>
            <w:vAlign w:val="center"/>
          </w:tcPr>
          <w:p w14:paraId="4BD73CEB" w14:textId="5C43296F" w:rsidR="003D618E" w:rsidRPr="00435273" w:rsidRDefault="003D618E" w:rsidP="0013149F">
            <w:pPr>
              <w:spacing w:after="0"/>
              <w:rPr>
                <w:rFonts w:ascii="Arial" w:hAnsi="Arial" w:cs="Arial"/>
                <w:sz w:val="24"/>
                <w:szCs w:val="24"/>
                <w:lang w:val="es-ES"/>
              </w:rPr>
            </w:pPr>
            <w:r w:rsidRPr="00435273">
              <w:rPr>
                <w:rFonts w:ascii="Arial" w:hAnsi="Arial" w:cs="Arial"/>
                <w:sz w:val="24"/>
                <w:szCs w:val="24"/>
              </w:rPr>
              <w:t>88-001-23-33-000-20</w:t>
            </w:r>
            <w:r>
              <w:rPr>
                <w:rFonts w:ascii="Arial" w:hAnsi="Arial" w:cs="Arial"/>
                <w:sz w:val="24"/>
                <w:szCs w:val="24"/>
              </w:rPr>
              <w:t>20</w:t>
            </w:r>
            <w:r w:rsidRPr="00435273">
              <w:rPr>
                <w:rFonts w:ascii="Arial" w:hAnsi="Arial" w:cs="Arial"/>
                <w:sz w:val="24"/>
                <w:szCs w:val="24"/>
              </w:rPr>
              <w:t>-000</w:t>
            </w:r>
            <w:r>
              <w:rPr>
                <w:rFonts w:ascii="Arial" w:hAnsi="Arial" w:cs="Arial"/>
                <w:sz w:val="24"/>
                <w:szCs w:val="24"/>
              </w:rPr>
              <w:t>7</w:t>
            </w:r>
            <w:r>
              <w:rPr>
                <w:rFonts w:ascii="Arial" w:hAnsi="Arial" w:cs="Arial"/>
                <w:sz w:val="24"/>
                <w:szCs w:val="24"/>
              </w:rPr>
              <w:t>5</w:t>
            </w:r>
            <w:r w:rsidRPr="00435273">
              <w:rPr>
                <w:rFonts w:ascii="Arial" w:hAnsi="Arial" w:cs="Arial"/>
                <w:sz w:val="24"/>
                <w:szCs w:val="24"/>
              </w:rPr>
              <w:t>-00</w:t>
            </w:r>
          </w:p>
          <w:p w14:paraId="1B48EB73" w14:textId="77777777" w:rsidR="003D618E" w:rsidRPr="00CA4B93" w:rsidRDefault="003D618E" w:rsidP="0013149F">
            <w:pPr>
              <w:spacing w:after="0"/>
              <w:rPr>
                <w:rFonts w:ascii="Arial" w:hAnsi="Arial" w:cs="Arial"/>
                <w:sz w:val="24"/>
                <w:szCs w:val="24"/>
                <w:lang w:val="es-ES"/>
              </w:rPr>
            </w:pPr>
          </w:p>
        </w:tc>
      </w:tr>
      <w:tr w:rsidR="003D618E" w:rsidRPr="00CA4B93" w14:paraId="74F17A0A" w14:textId="77777777" w:rsidTr="003D618E">
        <w:trPr>
          <w:trHeight w:val="345"/>
        </w:trPr>
        <w:tc>
          <w:tcPr>
            <w:tcW w:w="1747" w:type="pct"/>
            <w:vAlign w:val="center"/>
          </w:tcPr>
          <w:p w14:paraId="7EE7B17F" w14:textId="77777777" w:rsidR="003D618E" w:rsidRPr="00435273" w:rsidRDefault="003D618E" w:rsidP="0013149F">
            <w:pPr>
              <w:spacing w:after="0"/>
              <w:rPr>
                <w:rFonts w:ascii="Arial" w:hAnsi="Arial" w:cs="Arial"/>
                <w:b/>
                <w:sz w:val="24"/>
                <w:szCs w:val="24"/>
                <w:lang w:val="es-ES"/>
              </w:rPr>
            </w:pPr>
            <w:r w:rsidRPr="00435273">
              <w:rPr>
                <w:rFonts w:ascii="Arial" w:hAnsi="Arial" w:cs="Arial"/>
                <w:b/>
                <w:sz w:val="24"/>
                <w:szCs w:val="24"/>
                <w:lang w:val="es-ES"/>
              </w:rPr>
              <w:t>Demandante</w:t>
            </w:r>
          </w:p>
        </w:tc>
        <w:tc>
          <w:tcPr>
            <w:tcW w:w="3253" w:type="pct"/>
            <w:vAlign w:val="center"/>
          </w:tcPr>
          <w:p w14:paraId="1991442F" w14:textId="43DCCF08" w:rsidR="003D618E" w:rsidRPr="00DF32CB" w:rsidRDefault="003D618E" w:rsidP="0013149F">
            <w:pPr>
              <w:spacing w:line="360" w:lineRule="auto"/>
              <w:rPr>
                <w:rFonts w:ascii="Arial" w:hAnsi="Arial" w:cs="Arial"/>
                <w:sz w:val="24"/>
                <w:szCs w:val="24"/>
                <w:lang w:val="es-ES"/>
              </w:rPr>
            </w:pPr>
            <w:r>
              <w:rPr>
                <w:rFonts w:ascii="Arial" w:hAnsi="Arial" w:cs="Arial"/>
                <w:sz w:val="24"/>
                <w:szCs w:val="24"/>
                <w:lang w:val="es-ES"/>
              </w:rPr>
              <w:t>PROCURAR</w:t>
            </w:r>
            <w:r>
              <w:rPr>
                <w:rFonts w:ascii="Arial" w:hAnsi="Arial" w:cs="Arial"/>
                <w:sz w:val="24"/>
                <w:szCs w:val="24"/>
                <w:lang w:val="es-ES"/>
              </w:rPr>
              <w:t xml:space="preserve"> </w:t>
            </w:r>
          </w:p>
        </w:tc>
      </w:tr>
      <w:tr w:rsidR="003D618E" w:rsidRPr="00CA4B93" w14:paraId="106EB473" w14:textId="77777777" w:rsidTr="003D618E">
        <w:trPr>
          <w:trHeight w:val="345"/>
        </w:trPr>
        <w:tc>
          <w:tcPr>
            <w:tcW w:w="1747" w:type="pct"/>
            <w:vAlign w:val="center"/>
          </w:tcPr>
          <w:p w14:paraId="6EE3CFF6" w14:textId="77777777" w:rsidR="003D618E" w:rsidRPr="00435273" w:rsidRDefault="003D618E" w:rsidP="0013149F">
            <w:pPr>
              <w:spacing w:after="0"/>
              <w:rPr>
                <w:rFonts w:ascii="Arial" w:hAnsi="Arial" w:cs="Arial"/>
                <w:b/>
                <w:sz w:val="24"/>
                <w:szCs w:val="24"/>
                <w:lang w:val="es-ES"/>
              </w:rPr>
            </w:pPr>
            <w:r w:rsidRPr="00435273">
              <w:rPr>
                <w:rFonts w:ascii="Arial" w:hAnsi="Arial" w:cs="Arial"/>
                <w:b/>
                <w:sz w:val="24"/>
                <w:szCs w:val="24"/>
                <w:lang w:val="es-ES"/>
              </w:rPr>
              <w:t>Demandado</w:t>
            </w:r>
          </w:p>
        </w:tc>
        <w:tc>
          <w:tcPr>
            <w:tcW w:w="3253" w:type="pct"/>
            <w:vAlign w:val="center"/>
          </w:tcPr>
          <w:p w14:paraId="34ADF3CC" w14:textId="304012EF" w:rsidR="003D618E" w:rsidRPr="00BA0079" w:rsidRDefault="003D618E" w:rsidP="0013149F">
            <w:pPr>
              <w:rPr>
                <w:rFonts w:ascii="Arial" w:hAnsi="Arial" w:cs="Arial"/>
                <w:sz w:val="24"/>
                <w:szCs w:val="24"/>
                <w:lang w:val="es-ES"/>
              </w:rPr>
            </w:pPr>
            <w:r>
              <w:rPr>
                <w:rFonts w:ascii="Arial" w:hAnsi="Arial" w:cs="Arial"/>
                <w:sz w:val="24"/>
                <w:szCs w:val="24"/>
                <w:lang w:val="es-ES"/>
              </w:rPr>
              <w:t xml:space="preserve">Procuraduría General de la Nación </w:t>
            </w:r>
            <w:r>
              <w:rPr>
                <w:rFonts w:ascii="Arial" w:hAnsi="Arial" w:cs="Arial"/>
                <w:sz w:val="24"/>
                <w:szCs w:val="24"/>
                <w:lang w:val="es-ES"/>
              </w:rPr>
              <w:t xml:space="preserve">– Sara E. </w:t>
            </w:r>
            <w:proofErr w:type="spellStart"/>
            <w:r>
              <w:rPr>
                <w:rFonts w:ascii="Arial" w:hAnsi="Arial" w:cs="Arial"/>
                <w:sz w:val="24"/>
                <w:szCs w:val="24"/>
                <w:lang w:val="es-ES"/>
              </w:rPr>
              <w:t>Pecththalt</w:t>
            </w:r>
            <w:proofErr w:type="spellEnd"/>
          </w:p>
        </w:tc>
      </w:tr>
      <w:tr w:rsidR="003D618E" w:rsidRPr="00CA4B93" w14:paraId="4863D667" w14:textId="77777777" w:rsidTr="003D618E">
        <w:trPr>
          <w:trHeight w:val="345"/>
        </w:trPr>
        <w:tc>
          <w:tcPr>
            <w:tcW w:w="1747" w:type="pct"/>
            <w:vAlign w:val="center"/>
          </w:tcPr>
          <w:p w14:paraId="020D635E" w14:textId="1EDEFFE7" w:rsidR="003D618E" w:rsidRPr="00CA4B93" w:rsidRDefault="003D618E" w:rsidP="0013149F">
            <w:pPr>
              <w:tabs>
                <w:tab w:val="center" w:pos="4252"/>
                <w:tab w:val="right" w:pos="8504"/>
              </w:tabs>
              <w:spacing w:after="0" w:line="240" w:lineRule="auto"/>
              <w:rPr>
                <w:rFonts w:ascii="Arial" w:hAnsi="Arial" w:cs="Arial"/>
                <w:b/>
                <w:sz w:val="24"/>
                <w:szCs w:val="24"/>
                <w:lang w:val="es-ES"/>
              </w:rPr>
            </w:pPr>
            <w:r w:rsidRPr="00CA4B93">
              <w:rPr>
                <w:rFonts w:ascii="Arial" w:eastAsia="Calibri" w:hAnsi="Arial" w:cs="Arial"/>
                <w:b/>
                <w:sz w:val="24"/>
                <w:szCs w:val="24"/>
              </w:rPr>
              <w:t>Magistrad</w:t>
            </w:r>
            <w:r>
              <w:rPr>
                <w:rFonts w:ascii="Arial" w:eastAsia="Calibri" w:hAnsi="Arial" w:cs="Arial"/>
                <w:b/>
                <w:sz w:val="24"/>
                <w:szCs w:val="24"/>
              </w:rPr>
              <w:t>a</w:t>
            </w:r>
            <w:r w:rsidRPr="00CA4B93">
              <w:rPr>
                <w:rFonts w:ascii="Arial" w:eastAsia="Calibri" w:hAnsi="Arial" w:cs="Arial"/>
                <w:b/>
                <w:sz w:val="24"/>
                <w:szCs w:val="24"/>
              </w:rPr>
              <w:t xml:space="preserve"> Ponente </w:t>
            </w:r>
          </w:p>
        </w:tc>
        <w:tc>
          <w:tcPr>
            <w:tcW w:w="3253" w:type="pct"/>
            <w:vAlign w:val="center"/>
          </w:tcPr>
          <w:p w14:paraId="56A9BA7B" w14:textId="7DE1BCA2" w:rsidR="003D618E" w:rsidRPr="00CA4B93" w:rsidRDefault="002E6DC6" w:rsidP="0013149F">
            <w:pPr>
              <w:rPr>
                <w:rFonts w:ascii="Arial" w:hAnsi="Arial" w:cs="Arial"/>
                <w:sz w:val="24"/>
                <w:szCs w:val="24"/>
                <w:lang w:val="es-ES"/>
              </w:rPr>
            </w:pPr>
            <w:r>
              <w:rPr>
                <w:rFonts w:ascii="Arial" w:hAnsi="Arial" w:cs="Arial"/>
                <w:sz w:val="24"/>
                <w:szCs w:val="24"/>
                <w:lang w:val="es-ES"/>
              </w:rPr>
              <w:t>Laura A. Osuna C.</w:t>
            </w:r>
          </w:p>
        </w:tc>
      </w:tr>
    </w:tbl>
    <w:p w14:paraId="39251678" w14:textId="77777777" w:rsidR="003D618E" w:rsidRPr="00CA4B93" w:rsidRDefault="003D618E" w:rsidP="003D618E">
      <w:pPr>
        <w:spacing w:after="0" w:line="240" w:lineRule="auto"/>
        <w:jc w:val="center"/>
        <w:rPr>
          <w:rFonts w:ascii="Arial" w:eastAsia="Calibri" w:hAnsi="Arial" w:cs="Arial"/>
          <w:b/>
        </w:rPr>
      </w:pPr>
    </w:p>
    <w:p w14:paraId="5EDBC665" w14:textId="77777777" w:rsidR="003D618E" w:rsidRDefault="003D618E" w:rsidP="003D618E">
      <w:pPr>
        <w:spacing w:after="0" w:line="240" w:lineRule="auto"/>
        <w:rPr>
          <w:rFonts w:ascii="Arial" w:eastAsia="Calibri" w:hAnsi="Arial" w:cs="Arial"/>
          <w:b/>
        </w:rPr>
      </w:pPr>
    </w:p>
    <w:p w14:paraId="4F060A11" w14:textId="7E469C7C" w:rsidR="00E72716" w:rsidRDefault="00036546" w:rsidP="003D618E">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En atención a lo establecido en el artículo 182A del CPACA, el Despacho procede a verificar si se cumplen las disposiciones de la norma </w:t>
      </w:r>
      <w:proofErr w:type="gramStart"/>
      <w:r>
        <w:rPr>
          <w:rFonts w:ascii="Arial" w:eastAsia="Times New Roman" w:hAnsi="Arial" w:cs="Arial"/>
          <w:sz w:val="24"/>
          <w:szCs w:val="24"/>
          <w:lang w:eastAsia="es-ES"/>
        </w:rPr>
        <w:t>para  procede</w:t>
      </w:r>
      <w:r w:rsidR="00BC7B54">
        <w:rPr>
          <w:rFonts w:ascii="Arial" w:eastAsia="Times New Roman" w:hAnsi="Arial" w:cs="Arial"/>
          <w:sz w:val="24"/>
          <w:szCs w:val="24"/>
          <w:lang w:eastAsia="es-ES"/>
        </w:rPr>
        <w:t>r</w:t>
      </w:r>
      <w:proofErr w:type="gramEnd"/>
      <w:r>
        <w:rPr>
          <w:rFonts w:ascii="Arial" w:eastAsia="Times New Roman" w:hAnsi="Arial" w:cs="Arial"/>
          <w:sz w:val="24"/>
          <w:szCs w:val="24"/>
          <w:lang w:eastAsia="es-ES"/>
        </w:rPr>
        <w:t xml:space="preserve"> </w:t>
      </w:r>
      <w:r w:rsidR="00BC7B54">
        <w:rPr>
          <w:rFonts w:ascii="Arial" w:eastAsia="Times New Roman" w:hAnsi="Arial" w:cs="Arial"/>
          <w:sz w:val="24"/>
          <w:szCs w:val="24"/>
          <w:lang w:eastAsia="es-ES"/>
        </w:rPr>
        <w:t>a</w:t>
      </w:r>
      <w:r>
        <w:rPr>
          <w:rFonts w:ascii="Arial" w:eastAsia="Times New Roman" w:hAnsi="Arial" w:cs="Arial"/>
          <w:sz w:val="24"/>
          <w:szCs w:val="24"/>
          <w:lang w:eastAsia="es-ES"/>
        </w:rPr>
        <w:t xml:space="preserve"> dictar sentencia anticipada antes de la audiencia inicial.  </w:t>
      </w:r>
    </w:p>
    <w:p w14:paraId="4DB64948" w14:textId="77777777" w:rsidR="00E72716" w:rsidRPr="001023DA" w:rsidRDefault="00E72716" w:rsidP="001023DA">
      <w:pPr>
        <w:pStyle w:val="NormalWeb"/>
        <w:spacing w:line="270" w:lineRule="atLeast"/>
        <w:ind w:left="567" w:right="567"/>
        <w:jc w:val="both"/>
        <w:rPr>
          <w:rFonts w:ascii="Arial" w:hAnsi="Arial" w:cs="Arial"/>
          <w:sz w:val="22"/>
          <w:szCs w:val="22"/>
        </w:rPr>
      </w:pPr>
      <w:bookmarkStart w:id="0" w:name="182A"/>
      <w:r w:rsidRPr="001023DA">
        <w:rPr>
          <w:rStyle w:val="baj"/>
          <w:rFonts w:ascii="Arial" w:hAnsi="Arial" w:cs="Arial"/>
          <w:b/>
          <w:bCs/>
          <w:sz w:val="22"/>
          <w:szCs w:val="22"/>
        </w:rPr>
        <w:t>ARTÍCULO 182A. SENTENCIA ANTICIPADA.</w:t>
      </w:r>
      <w:bookmarkEnd w:id="0"/>
      <w:r w:rsidRPr="001023DA">
        <w:rPr>
          <w:rStyle w:val="baj"/>
          <w:rFonts w:ascii="Arial" w:hAnsi="Arial" w:cs="Arial"/>
          <w:b/>
          <w:bCs/>
          <w:sz w:val="22"/>
          <w:szCs w:val="22"/>
        </w:rPr>
        <w:t> </w:t>
      </w:r>
      <w:r w:rsidRPr="001023DA">
        <w:rPr>
          <w:rFonts w:ascii="Arial" w:hAnsi="Arial" w:cs="Arial"/>
          <w:sz w:val="22"/>
          <w:szCs w:val="22"/>
        </w:rPr>
        <w:t>&lt;Artículo adicionado por el artículo 42 de la Ley 2080 de 2021. El nuevo texto es el siguiente:&gt; Se podrá dictar sentencia anticipada:</w:t>
      </w:r>
    </w:p>
    <w:p w14:paraId="65263881" w14:textId="77777777"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1. Antes de la audiencia inicial:</w:t>
      </w:r>
    </w:p>
    <w:p w14:paraId="0652958B" w14:textId="77777777"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a) Cuando se trate de asuntos de puro derecho;</w:t>
      </w:r>
    </w:p>
    <w:p w14:paraId="293F9F75" w14:textId="77777777"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b) Cuando no haya que practicar pruebas;</w:t>
      </w:r>
    </w:p>
    <w:p w14:paraId="08D51A8F" w14:textId="77777777"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c) Cuando solo se solicite tener como pruebas las documentales aportadas con la demanda y la contestación, y sobre ellas no se hubiese formulado tacha o desconocimiento;</w:t>
      </w:r>
    </w:p>
    <w:p w14:paraId="72688543" w14:textId="77777777"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d) Cuando las pruebas solicitadas por las partes sean impertinentes, inconducentes o inútiles.</w:t>
      </w:r>
    </w:p>
    <w:p w14:paraId="2ECD46B7" w14:textId="77777777"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 xml:space="preserve">El juez o magistrado ponente, mediante auto, se pronunciará sobre las pruebas cuando a ello haya lugar, dando aplicación a lo </w:t>
      </w:r>
      <w:r w:rsidRPr="001023DA">
        <w:rPr>
          <w:rFonts w:ascii="Arial" w:hAnsi="Arial" w:cs="Arial"/>
          <w:sz w:val="22"/>
          <w:szCs w:val="22"/>
        </w:rPr>
        <w:lastRenderedPageBreak/>
        <w:t>dispuesto en el artículo </w:t>
      </w:r>
      <w:hyperlink r:id="rId9" w:anchor="173" w:history="1">
        <w:r w:rsidRPr="001023DA">
          <w:rPr>
            <w:rStyle w:val="Hipervnculo"/>
            <w:rFonts w:ascii="Arial" w:eastAsiaTheme="minorEastAsia" w:hAnsi="Arial" w:cs="Arial"/>
            <w:color w:val="auto"/>
            <w:sz w:val="22"/>
            <w:szCs w:val="22"/>
          </w:rPr>
          <w:t>173</w:t>
        </w:r>
      </w:hyperlink>
      <w:r w:rsidRPr="001023DA">
        <w:rPr>
          <w:rFonts w:ascii="Arial" w:hAnsi="Arial" w:cs="Arial"/>
          <w:sz w:val="22"/>
          <w:szCs w:val="22"/>
        </w:rPr>
        <w:t> del Código General del Proceso y fijará el litigio u objeto de controversia.</w:t>
      </w:r>
    </w:p>
    <w:p w14:paraId="141E9933" w14:textId="1192C812" w:rsidR="00E72716" w:rsidRPr="001023DA" w:rsidRDefault="00E72716" w:rsidP="001023DA">
      <w:pPr>
        <w:pStyle w:val="NormalWeb"/>
        <w:spacing w:line="270" w:lineRule="atLeast"/>
        <w:ind w:left="567" w:right="567"/>
        <w:jc w:val="both"/>
        <w:rPr>
          <w:rFonts w:ascii="Arial" w:hAnsi="Arial" w:cs="Arial"/>
          <w:sz w:val="22"/>
          <w:szCs w:val="22"/>
        </w:rPr>
      </w:pPr>
      <w:r w:rsidRPr="001023DA">
        <w:rPr>
          <w:rFonts w:ascii="Arial" w:hAnsi="Arial" w:cs="Arial"/>
          <w:sz w:val="22"/>
          <w:szCs w:val="22"/>
        </w:rPr>
        <w:t>Cumplido lo anterior, se correrá traslado para alegar en la forma prevista en el inciso final del artículo </w:t>
      </w:r>
      <w:hyperlink r:id="rId10" w:anchor="181" w:history="1">
        <w:r w:rsidRPr="000A49E5">
          <w:rPr>
            <w:rStyle w:val="Hipervnculo"/>
            <w:rFonts w:ascii="Arial" w:eastAsiaTheme="minorEastAsia" w:hAnsi="Arial" w:cs="Arial"/>
            <w:color w:val="auto"/>
            <w:sz w:val="22"/>
            <w:szCs w:val="22"/>
            <w:u w:val="none"/>
          </w:rPr>
          <w:t>181</w:t>
        </w:r>
      </w:hyperlink>
      <w:r w:rsidRPr="001023DA">
        <w:rPr>
          <w:rFonts w:ascii="Arial" w:hAnsi="Arial" w:cs="Arial"/>
          <w:sz w:val="22"/>
          <w:szCs w:val="22"/>
        </w:rPr>
        <w:t> de este código y la sentencia se expedirá por escrito.</w:t>
      </w:r>
    </w:p>
    <w:p w14:paraId="47120912" w14:textId="77777777" w:rsidR="001023DA" w:rsidRPr="001023DA" w:rsidRDefault="001023DA" w:rsidP="00E72716">
      <w:pPr>
        <w:pStyle w:val="NormalWeb"/>
        <w:spacing w:line="270" w:lineRule="atLeast"/>
        <w:jc w:val="both"/>
        <w:rPr>
          <w:rFonts w:ascii="Arial" w:hAnsi="Arial" w:cs="Arial"/>
          <w:sz w:val="18"/>
          <w:szCs w:val="18"/>
        </w:rPr>
      </w:pPr>
    </w:p>
    <w:p w14:paraId="4B070E71" w14:textId="07CAB364" w:rsidR="00036546" w:rsidRDefault="001023DA" w:rsidP="003D618E">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Se observa que en el sub judice solo se solicitó tener como pruebas las</w:t>
      </w:r>
      <w:r w:rsidR="0029067B">
        <w:rPr>
          <w:rFonts w:ascii="Arial" w:eastAsia="Times New Roman" w:hAnsi="Arial" w:cs="Arial"/>
          <w:sz w:val="24"/>
          <w:szCs w:val="24"/>
          <w:lang w:eastAsia="es-ES"/>
        </w:rPr>
        <w:t xml:space="preserve"> documentales</w:t>
      </w:r>
      <w:r>
        <w:rPr>
          <w:rFonts w:ascii="Arial" w:eastAsia="Times New Roman" w:hAnsi="Arial" w:cs="Arial"/>
          <w:sz w:val="24"/>
          <w:szCs w:val="24"/>
          <w:lang w:eastAsia="es-ES"/>
        </w:rPr>
        <w:t xml:space="preserve"> aportadas </w:t>
      </w:r>
      <w:r w:rsidR="0029067B">
        <w:rPr>
          <w:rFonts w:ascii="Arial" w:eastAsia="Times New Roman" w:hAnsi="Arial" w:cs="Arial"/>
          <w:sz w:val="24"/>
          <w:szCs w:val="24"/>
          <w:lang w:eastAsia="es-ES"/>
        </w:rPr>
        <w:t>con la demanda y la contestación, sin que sobre aquellas se hubiese formulado tacha o desconocimiento.</w:t>
      </w:r>
    </w:p>
    <w:p w14:paraId="0650A9EC" w14:textId="4EBFF244" w:rsidR="0029067B" w:rsidRDefault="0029067B" w:rsidP="003D618E">
      <w:pPr>
        <w:spacing w:after="0" w:line="360" w:lineRule="auto"/>
        <w:jc w:val="both"/>
        <w:rPr>
          <w:rFonts w:ascii="Arial" w:eastAsia="Times New Roman" w:hAnsi="Arial" w:cs="Arial"/>
          <w:sz w:val="24"/>
          <w:szCs w:val="24"/>
          <w:lang w:eastAsia="es-ES"/>
        </w:rPr>
      </w:pPr>
    </w:p>
    <w:p w14:paraId="348D056C" w14:textId="7B2AB036" w:rsidR="0029067B" w:rsidRDefault="0029067B" w:rsidP="003D618E">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Una vez revisada la solicitud de pruebas elevada oportunamente por las partes, se constata que resultan pertinentes</w:t>
      </w:r>
      <w:r w:rsidR="00B365DB">
        <w:rPr>
          <w:rFonts w:ascii="Arial" w:eastAsia="Times New Roman" w:hAnsi="Arial" w:cs="Arial"/>
          <w:sz w:val="24"/>
          <w:szCs w:val="24"/>
          <w:lang w:eastAsia="es-ES"/>
        </w:rPr>
        <w:t>, útiles</w:t>
      </w:r>
      <w:r>
        <w:rPr>
          <w:rFonts w:ascii="Arial" w:eastAsia="Times New Roman" w:hAnsi="Arial" w:cs="Arial"/>
          <w:sz w:val="24"/>
          <w:szCs w:val="24"/>
          <w:lang w:eastAsia="es-ES"/>
        </w:rPr>
        <w:t xml:space="preserve"> y necesarias para definir el asunto que nos ocupa</w:t>
      </w:r>
      <w:r w:rsidR="00AF677A">
        <w:rPr>
          <w:rFonts w:ascii="Arial" w:eastAsia="Times New Roman" w:hAnsi="Arial" w:cs="Arial"/>
          <w:sz w:val="24"/>
          <w:szCs w:val="24"/>
          <w:lang w:eastAsia="es-ES"/>
        </w:rPr>
        <w:t>, en razón de lo cual se decretará tener como pruebas las documentales aportadas al proceso</w:t>
      </w:r>
      <w:r w:rsidR="007517CD">
        <w:rPr>
          <w:rFonts w:ascii="Arial" w:eastAsia="Times New Roman" w:hAnsi="Arial" w:cs="Arial"/>
          <w:sz w:val="24"/>
          <w:szCs w:val="24"/>
          <w:lang w:eastAsia="es-ES"/>
        </w:rPr>
        <w:t>.</w:t>
      </w:r>
    </w:p>
    <w:p w14:paraId="2FB70772" w14:textId="1BA575C3" w:rsidR="004A1208" w:rsidRDefault="004A1208" w:rsidP="003D618E">
      <w:pPr>
        <w:spacing w:after="0" w:line="360" w:lineRule="auto"/>
        <w:jc w:val="both"/>
        <w:rPr>
          <w:rFonts w:ascii="Arial" w:eastAsia="Times New Roman" w:hAnsi="Arial" w:cs="Arial"/>
          <w:sz w:val="24"/>
          <w:szCs w:val="24"/>
          <w:lang w:eastAsia="es-ES"/>
        </w:rPr>
      </w:pPr>
    </w:p>
    <w:p w14:paraId="5AF295CA" w14:textId="77777777" w:rsidR="0040458C" w:rsidRDefault="004A1208" w:rsidP="003D618E">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De igual manera, el Despacho debe fijar el litigio, lo que se hace en los siguientes términos</w:t>
      </w:r>
      <w:r w:rsidR="00A34563">
        <w:rPr>
          <w:rFonts w:ascii="Arial" w:eastAsia="Times New Roman" w:hAnsi="Arial" w:cs="Arial"/>
          <w:sz w:val="24"/>
          <w:szCs w:val="24"/>
          <w:lang w:eastAsia="es-ES"/>
        </w:rPr>
        <w:t>, a partir de los hechos y las pretensiones formulados en la demanda y la contestación presentada</w:t>
      </w:r>
      <w:r w:rsidR="0040458C">
        <w:rPr>
          <w:rFonts w:ascii="Arial" w:eastAsia="Times New Roman" w:hAnsi="Arial" w:cs="Arial"/>
          <w:sz w:val="24"/>
          <w:szCs w:val="24"/>
          <w:lang w:eastAsia="es-ES"/>
        </w:rPr>
        <w:t>.</w:t>
      </w:r>
      <w:r w:rsidR="005964E0">
        <w:rPr>
          <w:rFonts w:ascii="Arial" w:eastAsia="Times New Roman" w:hAnsi="Arial" w:cs="Arial"/>
          <w:sz w:val="24"/>
          <w:szCs w:val="24"/>
          <w:lang w:eastAsia="es-ES"/>
        </w:rPr>
        <w:t xml:space="preserve"> </w:t>
      </w:r>
    </w:p>
    <w:p w14:paraId="0D15E074" w14:textId="67C1C873" w:rsidR="00A34563" w:rsidRDefault="0040458C" w:rsidP="003D618E">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E</w:t>
      </w:r>
      <w:r w:rsidR="005964E0">
        <w:rPr>
          <w:rFonts w:ascii="Arial" w:eastAsia="Times New Roman" w:hAnsi="Arial" w:cs="Arial"/>
          <w:sz w:val="24"/>
          <w:szCs w:val="24"/>
          <w:lang w:eastAsia="es-ES"/>
        </w:rPr>
        <w:t>s</w:t>
      </w:r>
      <w:bookmarkStart w:id="1" w:name="_GoBack"/>
      <w:bookmarkEnd w:id="1"/>
      <w:r w:rsidR="005964E0">
        <w:rPr>
          <w:rFonts w:ascii="Arial" w:eastAsia="Times New Roman" w:hAnsi="Arial" w:cs="Arial"/>
          <w:sz w:val="24"/>
          <w:szCs w:val="24"/>
          <w:lang w:eastAsia="es-ES"/>
        </w:rPr>
        <w:t xml:space="preserve"> evidente que las partes están de acuerdo en que mediante Decreto 469 de 2020, artículo 88, fue prorrogado el nombramiento en provisionalidad de la Procuradora Judicial II Ambiental y Agraria, Dra. Sara E. </w:t>
      </w:r>
      <w:proofErr w:type="spellStart"/>
      <w:r w:rsidR="005964E0">
        <w:rPr>
          <w:rFonts w:ascii="Arial" w:eastAsia="Times New Roman" w:hAnsi="Arial" w:cs="Arial"/>
          <w:sz w:val="24"/>
          <w:szCs w:val="24"/>
          <w:lang w:eastAsia="es-ES"/>
        </w:rPr>
        <w:t>Pechthalt</w:t>
      </w:r>
      <w:proofErr w:type="spellEnd"/>
      <w:r w:rsidR="00D147EA">
        <w:rPr>
          <w:rFonts w:ascii="Arial" w:eastAsia="Times New Roman" w:hAnsi="Arial" w:cs="Arial"/>
          <w:sz w:val="24"/>
          <w:szCs w:val="24"/>
          <w:lang w:eastAsia="es-ES"/>
        </w:rPr>
        <w:t>.  A juicio de la parte demandante el Procurador General de la Nación en calidad de nominador estaba obligado a aplicar la figura del encargo y solo ante la evidencia de no contar con servidores que cumplieran los requisitos acudir a la figura del nombramiento en provisionalidad. Por su parte, la entidad demandada estima que el Procurador General de la Nación tiene la facultad discrecional de decidir si aplica una u otra figura ante la vacancia de los cargos de procuradores judiciales de la PGN</w:t>
      </w:r>
      <w:r w:rsidR="00B85734">
        <w:rPr>
          <w:rFonts w:ascii="Arial" w:eastAsia="Times New Roman" w:hAnsi="Arial" w:cs="Arial"/>
          <w:sz w:val="24"/>
          <w:szCs w:val="24"/>
          <w:lang w:eastAsia="es-ES"/>
        </w:rPr>
        <w:t xml:space="preserve">.  </w:t>
      </w:r>
      <w:r w:rsidR="00D147EA">
        <w:rPr>
          <w:rFonts w:ascii="Arial" w:eastAsia="Times New Roman" w:hAnsi="Arial" w:cs="Arial"/>
          <w:sz w:val="24"/>
          <w:szCs w:val="24"/>
          <w:lang w:eastAsia="es-ES"/>
        </w:rPr>
        <w:t xml:space="preserve">  </w:t>
      </w:r>
      <w:r w:rsidR="005964E0">
        <w:rPr>
          <w:rFonts w:ascii="Arial" w:eastAsia="Times New Roman" w:hAnsi="Arial" w:cs="Arial"/>
          <w:sz w:val="24"/>
          <w:szCs w:val="24"/>
          <w:lang w:eastAsia="es-ES"/>
        </w:rPr>
        <w:t xml:space="preserve"> </w:t>
      </w:r>
      <w:r w:rsidR="00BA1449">
        <w:rPr>
          <w:rFonts w:ascii="Arial" w:eastAsia="Times New Roman" w:hAnsi="Arial" w:cs="Arial"/>
          <w:sz w:val="24"/>
          <w:szCs w:val="24"/>
          <w:lang w:eastAsia="es-ES"/>
        </w:rPr>
        <w:t xml:space="preserve">  </w:t>
      </w:r>
    </w:p>
    <w:p w14:paraId="7AE4E73D" w14:textId="77777777" w:rsidR="00A34563" w:rsidRDefault="00A34563" w:rsidP="003D618E">
      <w:pPr>
        <w:spacing w:after="0" w:line="360" w:lineRule="auto"/>
        <w:jc w:val="both"/>
        <w:rPr>
          <w:rFonts w:ascii="Arial" w:eastAsia="Times New Roman" w:hAnsi="Arial" w:cs="Arial"/>
          <w:sz w:val="24"/>
          <w:szCs w:val="24"/>
          <w:lang w:eastAsia="es-ES"/>
        </w:rPr>
      </w:pPr>
    </w:p>
    <w:p w14:paraId="4B067D0F" w14:textId="0971743F" w:rsidR="00C14003" w:rsidRPr="001023DA" w:rsidRDefault="00B85734" w:rsidP="003D618E">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lastRenderedPageBreak/>
        <w:t xml:space="preserve">En ese orden, </w:t>
      </w:r>
      <w:r w:rsidR="00BA1449">
        <w:rPr>
          <w:rFonts w:ascii="Arial" w:eastAsia="Times New Roman" w:hAnsi="Arial" w:cs="Arial"/>
          <w:sz w:val="24"/>
          <w:szCs w:val="24"/>
          <w:lang w:eastAsia="es-ES"/>
        </w:rPr>
        <w:t xml:space="preserve">el litigio se circunscribe a determinar la procedencia de la nulidad del artículo 88 del Decreto 469 del 1º de junio de 2020, por medio del cual el Procurador General de la Nación prorrogó el nombramiento </w:t>
      </w:r>
      <w:r w:rsidR="00E95C2B">
        <w:rPr>
          <w:rFonts w:ascii="Arial" w:eastAsia="Times New Roman" w:hAnsi="Arial" w:cs="Arial"/>
          <w:sz w:val="24"/>
          <w:szCs w:val="24"/>
          <w:lang w:eastAsia="es-ES"/>
        </w:rPr>
        <w:t xml:space="preserve">en provisionalidad de la Dra. Sara E. </w:t>
      </w:r>
      <w:proofErr w:type="spellStart"/>
      <w:r w:rsidR="00E95C2B">
        <w:rPr>
          <w:rFonts w:ascii="Arial" w:eastAsia="Times New Roman" w:hAnsi="Arial" w:cs="Arial"/>
          <w:sz w:val="24"/>
          <w:szCs w:val="24"/>
          <w:lang w:eastAsia="es-ES"/>
        </w:rPr>
        <w:t>Pechthalt</w:t>
      </w:r>
      <w:proofErr w:type="spellEnd"/>
      <w:r w:rsidR="00E95C2B">
        <w:rPr>
          <w:rFonts w:ascii="Arial" w:eastAsia="Times New Roman" w:hAnsi="Arial" w:cs="Arial"/>
          <w:sz w:val="24"/>
          <w:szCs w:val="24"/>
          <w:lang w:eastAsia="es-ES"/>
        </w:rPr>
        <w:t xml:space="preserve"> como Procuradora </w:t>
      </w:r>
      <w:r w:rsidR="00105E04">
        <w:rPr>
          <w:rFonts w:ascii="Arial" w:eastAsia="Times New Roman" w:hAnsi="Arial" w:cs="Arial"/>
          <w:sz w:val="24"/>
          <w:szCs w:val="24"/>
          <w:lang w:eastAsia="es-ES"/>
        </w:rPr>
        <w:t xml:space="preserve">17 Judicial II de Asuntos Agrarios de San Andrés Isla, </w:t>
      </w:r>
      <w:r w:rsidR="00C92B59">
        <w:rPr>
          <w:rFonts w:ascii="Arial" w:eastAsia="Times New Roman" w:hAnsi="Arial" w:cs="Arial"/>
          <w:sz w:val="24"/>
          <w:szCs w:val="24"/>
          <w:lang w:eastAsia="es-ES"/>
        </w:rPr>
        <w:t>por considerar que dicho acto se encuentra incurso en la causal de nulidad por infracción a las normas en que debía fundarse</w:t>
      </w:r>
      <w:r w:rsidR="00F37EE1">
        <w:rPr>
          <w:rFonts w:ascii="Arial" w:eastAsia="Times New Roman" w:hAnsi="Arial" w:cs="Arial"/>
          <w:sz w:val="24"/>
          <w:szCs w:val="24"/>
          <w:lang w:eastAsia="es-ES"/>
        </w:rPr>
        <w:t xml:space="preserve">.  De igual manera deberá determinarse si, a partir del contenido del artículo 185 del Decreto Ley 262 </w:t>
      </w:r>
      <w:r w:rsidR="00BF1BF7">
        <w:rPr>
          <w:rFonts w:ascii="Arial" w:eastAsia="Times New Roman" w:hAnsi="Arial" w:cs="Arial"/>
          <w:sz w:val="24"/>
          <w:szCs w:val="24"/>
          <w:lang w:eastAsia="es-ES"/>
        </w:rPr>
        <w:t>de 2000, se establece en cabeza del Procurador General de la Nación la facultad de determinar discrecionalmente</w:t>
      </w:r>
      <w:r w:rsidR="009D0A2B">
        <w:rPr>
          <w:rFonts w:ascii="Arial" w:eastAsia="Times New Roman" w:hAnsi="Arial" w:cs="Arial"/>
          <w:sz w:val="24"/>
          <w:szCs w:val="24"/>
          <w:lang w:eastAsia="es-ES"/>
        </w:rPr>
        <w:t xml:space="preserve"> si ante la vacancia de un cargo debe acudirse ya a la figura </w:t>
      </w:r>
      <w:proofErr w:type="spellStart"/>
      <w:r w:rsidR="009D0A2B">
        <w:rPr>
          <w:rFonts w:ascii="Arial" w:eastAsia="Times New Roman" w:hAnsi="Arial" w:cs="Arial"/>
          <w:sz w:val="24"/>
          <w:szCs w:val="24"/>
          <w:lang w:eastAsia="es-ES"/>
        </w:rPr>
        <w:t>del</w:t>
      </w:r>
      <w:proofErr w:type="spellEnd"/>
      <w:r w:rsidR="009D0A2B">
        <w:rPr>
          <w:rFonts w:ascii="Arial" w:eastAsia="Times New Roman" w:hAnsi="Arial" w:cs="Arial"/>
          <w:sz w:val="24"/>
          <w:szCs w:val="24"/>
          <w:lang w:eastAsia="es-ES"/>
        </w:rPr>
        <w:t xml:space="preserve"> encargo o a la </w:t>
      </w:r>
      <w:proofErr w:type="spellStart"/>
      <w:r w:rsidR="009D0A2B">
        <w:rPr>
          <w:rFonts w:ascii="Arial" w:eastAsia="Times New Roman" w:hAnsi="Arial" w:cs="Arial"/>
          <w:sz w:val="24"/>
          <w:szCs w:val="24"/>
          <w:lang w:eastAsia="es-ES"/>
        </w:rPr>
        <w:t>del</w:t>
      </w:r>
      <w:proofErr w:type="spellEnd"/>
      <w:r w:rsidR="009D0A2B">
        <w:rPr>
          <w:rFonts w:ascii="Arial" w:eastAsia="Times New Roman" w:hAnsi="Arial" w:cs="Arial"/>
          <w:sz w:val="24"/>
          <w:szCs w:val="24"/>
          <w:lang w:eastAsia="es-ES"/>
        </w:rPr>
        <w:t xml:space="preserve"> nombramiento provisional. </w:t>
      </w:r>
      <w:r w:rsidR="00BF1BF7">
        <w:rPr>
          <w:rFonts w:ascii="Arial" w:eastAsia="Times New Roman" w:hAnsi="Arial" w:cs="Arial"/>
          <w:sz w:val="24"/>
          <w:szCs w:val="24"/>
          <w:lang w:eastAsia="es-ES"/>
        </w:rPr>
        <w:t xml:space="preserve"> </w:t>
      </w:r>
    </w:p>
    <w:p w14:paraId="127B890E" w14:textId="77777777" w:rsidR="003D618E" w:rsidRDefault="003D618E" w:rsidP="003D618E">
      <w:pPr>
        <w:spacing w:after="0" w:line="360" w:lineRule="auto"/>
        <w:jc w:val="both"/>
        <w:rPr>
          <w:rFonts w:ascii="Arial" w:eastAsia="Times New Roman" w:hAnsi="Arial" w:cs="Arial"/>
          <w:sz w:val="24"/>
          <w:szCs w:val="24"/>
          <w:lang w:eastAsia="es-ES"/>
        </w:rPr>
      </w:pPr>
    </w:p>
    <w:p w14:paraId="4D14BD0C" w14:textId="77777777" w:rsidR="003D618E" w:rsidRDefault="003D618E" w:rsidP="003D618E">
      <w:pPr>
        <w:spacing w:after="0" w:line="240" w:lineRule="auto"/>
        <w:ind w:right="567"/>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Por lo anterior, se </w:t>
      </w:r>
    </w:p>
    <w:p w14:paraId="2FA54336" w14:textId="77777777" w:rsidR="003D618E" w:rsidRDefault="003D618E" w:rsidP="003D618E">
      <w:pPr>
        <w:spacing w:after="0" w:line="240" w:lineRule="auto"/>
        <w:ind w:left="567" w:right="567"/>
        <w:jc w:val="both"/>
        <w:rPr>
          <w:rFonts w:ascii="Arial" w:eastAsia="Times New Roman" w:hAnsi="Arial" w:cs="Arial"/>
          <w:sz w:val="24"/>
          <w:szCs w:val="24"/>
          <w:lang w:eastAsia="es-ES"/>
        </w:rPr>
      </w:pPr>
    </w:p>
    <w:p w14:paraId="72103DE3" w14:textId="77777777" w:rsidR="003D618E" w:rsidRDefault="003D618E" w:rsidP="003D618E">
      <w:pPr>
        <w:spacing w:after="0" w:line="240" w:lineRule="auto"/>
        <w:ind w:left="567" w:right="567"/>
        <w:jc w:val="center"/>
        <w:rPr>
          <w:rFonts w:ascii="Arial" w:eastAsia="Times New Roman" w:hAnsi="Arial" w:cs="Arial"/>
          <w:b/>
          <w:bCs/>
          <w:sz w:val="24"/>
          <w:szCs w:val="24"/>
          <w:lang w:eastAsia="es-ES"/>
        </w:rPr>
      </w:pPr>
      <w:r w:rsidRPr="00711D1F">
        <w:rPr>
          <w:rFonts w:ascii="Arial" w:eastAsia="Times New Roman" w:hAnsi="Arial" w:cs="Arial"/>
          <w:b/>
          <w:bCs/>
          <w:sz w:val="24"/>
          <w:szCs w:val="24"/>
          <w:lang w:eastAsia="es-ES"/>
        </w:rPr>
        <w:t>RESUELVE</w:t>
      </w:r>
    </w:p>
    <w:p w14:paraId="74233468" w14:textId="77777777" w:rsidR="003D618E" w:rsidRDefault="003D618E" w:rsidP="003D618E">
      <w:pPr>
        <w:spacing w:after="0" w:line="240" w:lineRule="auto"/>
        <w:ind w:left="567" w:right="567"/>
        <w:jc w:val="both"/>
        <w:rPr>
          <w:rFonts w:ascii="Arial" w:eastAsia="Times New Roman" w:hAnsi="Arial" w:cs="Arial"/>
          <w:b/>
          <w:bCs/>
          <w:sz w:val="24"/>
          <w:szCs w:val="24"/>
          <w:lang w:eastAsia="es-ES"/>
        </w:rPr>
      </w:pPr>
    </w:p>
    <w:p w14:paraId="63938971" w14:textId="7805EAF7" w:rsidR="00204136" w:rsidRDefault="003D618E" w:rsidP="003D618E">
      <w:pPr>
        <w:spacing w:after="0" w:line="360" w:lineRule="auto"/>
        <w:ind w:right="51"/>
        <w:jc w:val="both"/>
        <w:rPr>
          <w:rFonts w:ascii="Arial" w:eastAsia="Times New Roman" w:hAnsi="Arial" w:cs="Arial"/>
          <w:bCs/>
          <w:sz w:val="24"/>
          <w:szCs w:val="24"/>
          <w:lang w:eastAsia="es-ES"/>
        </w:rPr>
      </w:pPr>
      <w:r>
        <w:rPr>
          <w:rFonts w:ascii="Arial" w:eastAsia="Times New Roman" w:hAnsi="Arial" w:cs="Arial"/>
          <w:b/>
          <w:bCs/>
          <w:sz w:val="24"/>
          <w:szCs w:val="24"/>
          <w:lang w:eastAsia="es-ES"/>
        </w:rPr>
        <w:t xml:space="preserve">PRIMERO: </w:t>
      </w:r>
      <w:r w:rsidR="00BB6CD8">
        <w:rPr>
          <w:rFonts w:ascii="Arial" w:eastAsia="Times New Roman" w:hAnsi="Arial" w:cs="Arial"/>
          <w:bCs/>
          <w:sz w:val="24"/>
          <w:szCs w:val="24"/>
          <w:lang w:eastAsia="es-ES"/>
        </w:rPr>
        <w:t xml:space="preserve">Por considerarse necesarias y pertinentes para resolver el litigio, </w:t>
      </w:r>
      <w:r w:rsidR="00204136">
        <w:rPr>
          <w:rFonts w:ascii="Arial" w:eastAsia="Times New Roman" w:hAnsi="Arial" w:cs="Arial"/>
          <w:b/>
          <w:bCs/>
          <w:sz w:val="24"/>
          <w:szCs w:val="24"/>
          <w:lang w:eastAsia="es-ES"/>
        </w:rPr>
        <w:t xml:space="preserve">TÉNGANSE </w:t>
      </w:r>
      <w:r w:rsidR="00204136">
        <w:rPr>
          <w:rFonts w:ascii="Arial" w:eastAsia="Times New Roman" w:hAnsi="Arial" w:cs="Arial"/>
          <w:bCs/>
          <w:sz w:val="24"/>
          <w:szCs w:val="24"/>
          <w:lang w:eastAsia="es-ES"/>
        </w:rPr>
        <w:t>como pruebas y désele el valor correspondiente a los documentos aportados por las partes</w:t>
      </w:r>
      <w:r>
        <w:rPr>
          <w:rFonts w:ascii="Arial" w:eastAsia="Times New Roman" w:hAnsi="Arial" w:cs="Arial"/>
          <w:b/>
          <w:bCs/>
          <w:sz w:val="24"/>
          <w:szCs w:val="24"/>
          <w:lang w:eastAsia="es-ES"/>
        </w:rPr>
        <w:t xml:space="preserve"> </w:t>
      </w:r>
      <w:r w:rsidR="00204136">
        <w:rPr>
          <w:rFonts w:ascii="Arial" w:eastAsia="Times New Roman" w:hAnsi="Arial" w:cs="Arial"/>
          <w:bCs/>
          <w:sz w:val="24"/>
          <w:szCs w:val="24"/>
          <w:lang w:eastAsia="es-ES"/>
        </w:rPr>
        <w:t>en la demanda y en la contestación de la demanda, respectivamente.</w:t>
      </w:r>
    </w:p>
    <w:p w14:paraId="1613EC4F" w14:textId="155D5FCE" w:rsidR="00CB3DFB" w:rsidRDefault="00CB3DFB" w:rsidP="003D618E">
      <w:pPr>
        <w:spacing w:after="0" w:line="360" w:lineRule="auto"/>
        <w:ind w:right="51"/>
        <w:jc w:val="both"/>
        <w:rPr>
          <w:rFonts w:ascii="Arial" w:eastAsia="Times New Roman" w:hAnsi="Arial" w:cs="Arial"/>
          <w:bCs/>
          <w:sz w:val="24"/>
          <w:szCs w:val="24"/>
          <w:lang w:eastAsia="es-ES"/>
        </w:rPr>
      </w:pPr>
    </w:p>
    <w:p w14:paraId="3A3111CA" w14:textId="218A9608" w:rsidR="00CB3DFB" w:rsidRPr="00CB3DFB" w:rsidRDefault="00CB3DFB" w:rsidP="003D618E">
      <w:pPr>
        <w:spacing w:after="0" w:line="360" w:lineRule="auto"/>
        <w:ind w:right="51"/>
        <w:jc w:val="both"/>
        <w:rPr>
          <w:rFonts w:ascii="Arial" w:eastAsia="Times New Roman" w:hAnsi="Arial" w:cs="Arial"/>
          <w:bCs/>
          <w:sz w:val="24"/>
          <w:szCs w:val="24"/>
          <w:lang w:eastAsia="es-ES"/>
        </w:rPr>
      </w:pPr>
      <w:r>
        <w:rPr>
          <w:rFonts w:ascii="Arial" w:eastAsia="Times New Roman" w:hAnsi="Arial" w:cs="Arial"/>
          <w:b/>
          <w:bCs/>
          <w:sz w:val="24"/>
          <w:szCs w:val="24"/>
          <w:lang w:eastAsia="es-ES"/>
        </w:rPr>
        <w:t xml:space="preserve">SEGUNDO: FÍJESE </w:t>
      </w:r>
      <w:r>
        <w:rPr>
          <w:rFonts w:ascii="Arial" w:eastAsia="Times New Roman" w:hAnsi="Arial" w:cs="Arial"/>
          <w:bCs/>
          <w:sz w:val="24"/>
          <w:szCs w:val="24"/>
          <w:lang w:eastAsia="es-ES"/>
        </w:rPr>
        <w:t>el litigio en los términos indicados en esta providencia.</w:t>
      </w:r>
    </w:p>
    <w:p w14:paraId="36CE05E9" w14:textId="77777777" w:rsidR="00204136" w:rsidRDefault="00204136" w:rsidP="003D618E">
      <w:pPr>
        <w:spacing w:after="0" w:line="360" w:lineRule="auto"/>
        <w:ind w:right="51"/>
        <w:jc w:val="both"/>
        <w:rPr>
          <w:rFonts w:ascii="Arial" w:eastAsia="Times New Roman" w:hAnsi="Arial" w:cs="Arial"/>
          <w:sz w:val="24"/>
          <w:szCs w:val="24"/>
          <w:lang w:eastAsia="es-ES"/>
        </w:rPr>
      </w:pPr>
    </w:p>
    <w:p w14:paraId="2A917D77" w14:textId="77777777" w:rsidR="003D618E" w:rsidRPr="00CA4B93" w:rsidRDefault="003D618E" w:rsidP="003D618E">
      <w:pPr>
        <w:spacing w:after="0" w:line="240" w:lineRule="auto"/>
        <w:jc w:val="both"/>
        <w:rPr>
          <w:rFonts w:ascii="Arial" w:eastAsia="Calibri" w:hAnsi="Arial" w:cs="Arial"/>
          <w:b/>
        </w:rPr>
      </w:pPr>
    </w:p>
    <w:p w14:paraId="2A871646" w14:textId="77777777" w:rsidR="003D618E" w:rsidRPr="00CA4B93" w:rsidRDefault="003D618E" w:rsidP="003D618E">
      <w:pPr>
        <w:spacing w:after="0" w:line="240" w:lineRule="auto"/>
        <w:jc w:val="both"/>
        <w:rPr>
          <w:rFonts w:ascii="Arial" w:eastAsia="Calibri" w:hAnsi="Arial" w:cs="Arial"/>
          <w:b/>
        </w:rPr>
      </w:pPr>
    </w:p>
    <w:p w14:paraId="1B6E3F51" w14:textId="77777777" w:rsidR="003D618E" w:rsidRPr="00CA4B93" w:rsidRDefault="003D618E" w:rsidP="003D618E">
      <w:pPr>
        <w:spacing w:after="0"/>
        <w:jc w:val="center"/>
        <w:rPr>
          <w:rFonts w:ascii="Arial" w:eastAsia="Times New Roman" w:hAnsi="Arial" w:cs="Arial"/>
          <w:b/>
          <w:bCs/>
          <w:sz w:val="24"/>
          <w:szCs w:val="24"/>
          <w:lang w:val="es-ES" w:eastAsia="es-ES"/>
        </w:rPr>
      </w:pPr>
      <w:r w:rsidRPr="00CA4B93">
        <w:rPr>
          <w:rFonts w:ascii="Arial" w:eastAsia="Times New Roman" w:hAnsi="Arial" w:cs="Arial"/>
          <w:b/>
          <w:bCs/>
          <w:sz w:val="24"/>
          <w:szCs w:val="24"/>
          <w:lang w:val="es-ES" w:eastAsia="es-ES"/>
        </w:rPr>
        <w:t>NOTIFÍQUESE Y CÚMPLASE</w:t>
      </w:r>
    </w:p>
    <w:p w14:paraId="6F7FCFA1" w14:textId="77777777" w:rsidR="003D618E" w:rsidRPr="00CA4B93" w:rsidRDefault="003D618E" w:rsidP="003D618E">
      <w:pPr>
        <w:spacing w:after="0"/>
        <w:jc w:val="center"/>
        <w:rPr>
          <w:rFonts w:ascii="Arial" w:eastAsia="Times New Roman" w:hAnsi="Arial" w:cs="Arial"/>
          <w:sz w:val="24"/>
          <w:szCs w:val="24"/>
          <w:lang w:val="es-ES" w:eastAsia="es-ES"/>
        </w:rPr>
      </w:pPr>
    </w:p>
    <w:p w14:paraId="154D3F17" w14:textId="77777777" w:rsidR="003D618E" w:rsidRPr="00CA4B93" w:rsidRDefault="003D618E" w:rsidP="003D618E">
      <w:pPr>
        <w:spacing w:after="0"/>
        <w:jc w:val="center"/>
        <w:rPr>
          <w:rFonts w:ascii="Arial" w:eastAsia="Times New Roman" w:hAnsi="Arial" w:cs="Arial"/>
          <w:sz w:val="24"/>
          <w:szCs w:val="24"/>
          <w:lang w:val="es-ES" w:eastAsia="es-ES"/>
        </w:rPr>
      </w:pPr>
    </w:p>
    <w:p w14:paraId="4F7A0289" w14:textId="77777777" w:rsidR="003D618E" w:rsidRDefault="003D618E" w:rsidP="003D618E">
      <w:pPr>
        <w:spacing w:after="0"/>
        <w:jc w:val="center"/>
        <w:rPr>
          <w:rFonts w:ascii="Arial" w:eastAsia="Times New Roman" w:hAnsi="Arial" w:cs="Arial"/>
          <w:sz w:val="24"/>
          <w:szCs w:val="24"/>
          <w:lang w:val="es-ES" w:eastAsia="es-ES"/>
        </w:rPr>
      </w:pPr>
    </w:p>
    <w:p w14:paraId="16C02FEB" w14:textId="77777777" w:rsidR="003D618E" w:rsidRPr="00CA4B93" w:rsidRDefault="003D618E" w:rsidP="003D618E">
      <w:pPr>
        <w:spacing w:after="0"/>
        <w:jc w:val="center"/>
        <w:rPr>
          <w:rFonts w:ascii="Arial" w:eastAsia="Times New Roman" w:hAnsi="Arial" w:cs="Arial"/>
          <w:sz w:val="24"/>
          <w:szCs w:val="24"/>
          <w:lang w:val="es-ES" w:eastAsia="es-ES"/>
        </w:rPr>
      </w:pPr>
    </w:p>
    <w:p w14:paraId="65FAFE4B" w14:textId="77777777" w:rsidR="003D618E" w:rsidRPr="00CA4B93" w:rsidRDefault="003D618E" w:rsidP="003D618E">
      <w:pPr>
        <w:spacing w:after="0"/>
        <w:jc w:val="center"/>
        <w:rPr>
          <w:rFonts w:ascii="Arial" w:eastAsia="Times New Roman" w:hAnsi="Arial" w:cs="Arial"/>
          <w:sz w:val="24"/>
          <w:szCs w:val="24"/>
          <w:lang w:val="es-ES" w:eastAsia="es-ES"/>
        </w:rPr>
      </w:pPr>
    </w:p>
    <w:p w14:paraId="68FA7EBA" w14:textId="77777777" w:rsidR="003D618E" w:rsidRPr="00CA4B93" w:rsidRDefault="003D618E" w:rsidP="003D618E">
      <w:pPr>
        <w:spacing w:after="0"/>
        <w:jc w:val="center"/>
        <w:rPr>
          <w:rFonts w:ascii="Arial" w:eastAsia="Times New Roman" w:hAnsi="Arial" w:cs="Arial"/>
          <w:sz w:val="24"/>
          <w:szCs w:val="24"/>
          <w:lang w:val="es-ES" w:eastAsia="es-ES"/>
        </w:rPr>
      </w:pPr>
    </w:p>
    <w:p w14:paraId="6CDC8C98" w14:textId="0926A1B8" w:rsidR="003D618E" w:rsidRPr="00CA4B93" w:rsidRDefault="002E6DC6" w:rsidP="003D618E">
      <w:pPr>
        <w:spacing w:after="0"/>
        <w:jc w:val="center"/>
        <w:rPr>
          <w:rFonts w:ascii="Arial" w:eastAsia="Times New Roman" w:hAnsi="Arial" w:cs="Arial"/>
          <w:b/>
          <w:sz w:val="24"/>
          <w:szCs w:val="24"/>
          <w:lang w:eastAsia="es-ES"/>
        </w:rPr>
      </w:pPr>
      <w:r>
        <w:rPr>
          <w:rFonts w:ascii="Arial" w:eastAsia="Times New Roman" w:hAnsi="Arial" w:cs="Arial"/>
          <w:b/>
          <w:sz w:val="24"/>
          <w:szCs w:val="24"/>
          <w:lang w:eastAsia="es-ES"/>
        </w:rPr>
        <w:t>LAURA A. OSUNA C.</w:t>
      </w:r>
    </w:p>
    <w:p w14:paraId="640A9A0E" w14:textId="77777777" w:rsidR="003D618E" w:rsidRPr="00CA4B93" w:rsidRDefault="003D618E" w:rsidP="003D618E">
      <w:pPr>
        <w:spacing w:after="0"/>
        <w:jc w:val="center"/>
        <w:rPr>
          <w:rFonts w:ascii="Arial" w:eastAsia="Times New Roman" w:hAnsi="Arial" w:cs="Arial"/>
          <w:b/>
          <w:bCs/>
          <w:sz w:val="24"/>
          <w:szCs w:val="24"/>
          <w:lang w:eastAsia="es-ES"/>
        </w:rPr>
      </w:pPr>
      <w:r w:rsidRPr="00CA4B93">
        <w:rPr>
          <w:rFonts w:ascii="Arial" w:eastAsia="Times New Roman" w:hAnsi="Arial" w:cs="Arial"/>
          <w:b/>
          <w:sz w:val="24"/>
          <w:szCs w:val="24"/>
          <w:lang w:eastAsia="es-ES"/>
        </w:rPr>
        <w:t>Magistrada</w:t>
      </w:r>
    </w:p>
    <w:p w14:paraId="05C4E83A" w14:textId="77777777" w:rsidR="003D618E" w:rsidRPr="00CA4B93" w:rsidRDefault="003D618E" w:rsidP="003D618E">
      <w:pPr>
        <w:spacing w:after="0" w:line="240" w:lineRule="auto"/>
        <w:jc w:val="center"/>
        <w:rPr>
          <w:rFonts w:ascii="Arial" w:eastAsia="Calibri" w:hAnsi="Arial" w:cs="Arial"/>
          <w:b/>
        </w:rPr>
      </w:pPr>
    </w:p>
    <w:p w14:paraId="6E0DA414" w14:textId="77777777" w:rsidR="003D618E" w:rsidRPr="00CA4B93" w:rsidRDefault="003D618E" w:rsidP="003D618E">
      <w:pPr>
        <w:spacing w:after="0" w:line="240" w:lineRule="auto"/>
        <w:jc w:val="center"/>
        <w:rPr>
          <w:rFonts w:ascii="Arial" w:hAnsi="Arial" w:cs="Arial"/>
          <w:lang w:val="es-MX"/>
        </w:rPr>
      </w:pPr>
    </w:p>
    <w:p w14:paraId="6BEF50BD" w14:textId="56F948F0" w:rsidR="003D618E" w:rsidRDefault="003D618E">
      <w:pPr>
        <w:rPr>
          <w:rFonts w:ascii="Arial" w:hAnsi="Arial" w:cs="Arial"/>
        </w:rPr>
      </w:pPr>
    </w:p>
    <w:p w14:paraId="346FF6C8" w14:textId="465B1718" w:rsidR="003D618E" w:rsidRDefault="003D618E">
      <w:pPr>
        <w:rPr>
          <w:rFonts w:ascii="Arial" w:hAnsi="Arial" w:cs="Arial"/>
        </w:rPr>
      </w:pPr>
    </w:p>
    <w:p w14:paraId="2F91D5A7" w14:textId="08BE2AA8" w:rsidR="003D618E" w:rsidRDefault="003D618E">
      <w:pPr>
        <w:rPr>
          <w:rFonts w:ascii="Arial" w:hAnsi="Arial" w:cs="Arial"/>
        </w:rPr>
      </w:pPr>
    </w:p>
    <w:p w14:paraId="02773159" w14:textId="31ACCD4B" w:rsidR="003D618E" w:rsidRDefault="003D618E">
      <w:pPr>
        <w:rPr>
          <w:rFonts w:ascii="Arial" w:hAnsi="Arial" w:cs="Arial"/>
        </w:rPr>
      </w:pPr>
    </w:p>
    <w:p w14:paraId="4D4C854C" w14:textId="0BA2974B" w:rsidR="003D618E" w:rsidRDefault="003D618E">
      <w:pPr>
        <w:rPr>
          <w:rFonts w:ascii="Arial" w:hAnsi="Arial" w:cs="Arial"/>
        </w:rPr>
      </w:pPr>
    </w:p>
    <w:p w14:paraId="7792D430" w14:textId="77777777" w:rsidR="003D618E" w:rsidRPr="001F2D25" w:rsidRDefault="003D618E">
      <w:pPr>
        <w:rPr>
          <w:rFonts w:ascii="Arial" w:hAnsi="Arial" w:cs="Arial"/>
        </w:rPr>
      </w:pPr>
    </w:p>
    <w:sectPr w:rsidR="003D618E" w:rsidRPr="001F2D25" w:rsidSect="00B737D7">
      <w:footerReference w:type="default" r:id="rId11"/>
      <w:footerReference w:type="first" r:id="rId12"/>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3C8BE" w14:textId="77777777" w:rsidR="00116C3E" w:rsidRDefault="00116C3E">
      <w:pPr>
        <w:spacing w:after="0" w:line="240" w:lineRule="auto"/>
      </w:pPr>
      <w:r>
        <w:separator/>
      </w:r>
    </w:p>
  </w:endnote>
  <w:endnote w:type="continuationSeparator" w:id="0">
    <w:p w14:paraId="492F2573" w14:textId="77777777" w:rsidR="00116C3E" w:rsidRDefault="0011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116C3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116C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6BC47" w14:textId="77777777" w:rsidR="00116C3E" w:rsidRDefault="00116C3E">
      <w:pPr>
        <w:spacing w:after="0" w:line="240" w:lineRule="auto"/>
      </w:pPr>
      <w:r>
        <w:separator/>
      </w:r>
    </w:p>
  </w:footnote>
  <w:footnote w:type="continuationSeparator" w:id="0">
    <w:p w14:paraId="712CBE1C" w14:textId="77777777" w:rsidR="00116C3E" w:rsidRDefault="00116C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36546"/>
    <w:rsid w:val="000A49E5"/>
    <w:rsid w:val="000D6A0D"/>
    <w:rsid w:val="000E1E63"/>
    <w:rsid w:val="000F105D"/>
    <w:rsid w:val="001023DA"/>
    <w:rsid w:val="00105E04"/>
    <w:rsid w:val="00116C3E"/>
    <w:rsid w:val="00127C6E"/>
    <w:rsid w:val="00195C31"/>
    <w:rsid w:val="001C54E3"/>
    <w:rsid w:val="001F2D25"/>
    <w:rsid w:val="00204136"/>
    <w:rsid w:val="00222B39"/>
    <w:rsid w:val="00222D4A"/>
    <w:rsid w:val="0023682D"/>
    <w:rsid w:val="00245C3E"/>
    <w:rsid w:val="00286E9A"/>
    <w:rsid w:val="0029067B"/>
    <w:rsid w:val="002971BC"/>
    <w:rsid w:val="002E526E"/>
    <w:rsid w:val="002E6DC6"/>
    <w:rsid w:val="002F6A16"/>
    <w:rsid w:val="002F7D1D"/>
    <w:rsid w:val="00306339"/>
    <w:rsid w:val="0034107D"/>
    <w:rsid w:val="00341FFF"/>
    <w:rsid w:val="00381148"/>
    <w:rsid w:val="003A0FA3"/>
    <w:rsid w:val="003B379B"/>
    <w:rsid w:val="003D618E"/>
    <w:rsid w:val="003E2067"/>
    <w:rsid w:val="0040458C"/>
    <w:rsid w:val="00407892"/>
    <w:rsid w:val="00412DF6"/>
    <w:rsid w:val="004430DA"/>
    <w:rsid w:val="00462075"/>
    <w:rsid w:val="004A1208"/>
    <w:rsid w:val="004C270A"/>
    <w:rsid w:val="004D7577"/>
    <w:rsid w:val="00532C33"/>
    <w:rsid w:val="00565605"/>
    <w:rsid w:val="00591BD3"/>
    <w:rsid w:val="005964E0"/>
    <w:rsid w:val="005B3ECD"/>
    <w:rsid w:val="005C690E"/>
    <w:rsid w:val="005D343D"/>
    <w:rsid w:val="005F24AC"/>
    <w:rsid w:val="006E320B"/>
    <w:rsid w:val="007517CD"/>
    <w:rsid w:val="00764314"/>
    <w:rsid w:val="007C50B4"/>
    <w:rsid w:val="007D59E3"/>
    <w:rsid w:val="00823B31"/>
    <w:rsid w:val="00857522"/>
    <w:rsid w:val="00916B1B"/>
    <w:rsid w:val="00926ADA"/>
    <w:rsid w:val="00965363"/>
    <w:rsid w:val="0096597C"/>
    <w:rsid w:val="00985163"/>
    <w:rsid w:val="009D0A2B"/>
    <w:rsid w:val="009E3199"/>
    <w:rsid w:val="00A34563"/>
    <w:rsid w:val="00A43806"/>
    <w:rsid w:val="00A461DF"/>
    <w:rsid w:val="00A62E46"/>
    <w:rsid w:val="00A66A71"/>
    <w:rsid w:val="00AF677A"/>
    <w:rsid w:val="00B15983"/>
    <w:rsid w:val="00B365DB"/>
    <w:rsid w:val="00B47DA4"/>
    <w:rsid w:val="00B47DF3"/>
    <w:rsid w:val="00B713D2"/>
    <w:rsid w:val="00B85734"/>
    <w:rsid w:val="00BA1449"/>
    <w:rsid w:val="00BB6CD8"/>
    <w:rsid w:val="00BC7B54"/>
    <w:rsid w:val="00BF1BF7"/>
    <w:rsid w:val="00C14003"/>
    <w:rsid w:val="00C43096"/>
    <w:rsid w:val="00C53F95"/>
    <w:rsid w:val="00C5649B"/>
    <w:rsid w:val="00C6231D"/>
    <w:rsid w:val="00C9164A"/>
    <w:rsid w:val="00C92B59"/>
    <w:rsid w:val="00CB3DFB"/>
    <w:rsid w:val="00CC64F1"/>
    <w:rsid w:val="00CF03D9"/>
    <w:rsid w:val="00D111DA"/>
    <w:rsid w:val="00D147EA"/>
    <w:rsid w:val="00D747D0"/>
    <w:rsid w:val="00D75A67"/>
    <w:rsid w:val="00DB38E3"/>
    <w:rsid w:val="00DC796E"/>
    <w:rsid w:val="00DE6DCB"/>
    <w:rsid w:val="00E031FD"/>
    <w:rsid w:val="00E03626"/>
    <w:rsid w:val="00E377AA"/>
    <w:rsid w:val="00E42B7C"/>
    <w:rsid w:val="00E61BDD"/>
    <w:rsid w:val="00E72716"/>
    <w:rsid w:val="00E93701"/>
    <w:rsid w:val="00E95C2B"/>
    <w:rsid w:val="00EB3514"/>
    <w:rsid w:val="00ED4ECD"/>
    <w:rsid w:val="00EE219B"/>
    <w:rsid w:val="00F37EE1"/>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styleId="NormalWeb">
    <w:name w:val="Normal (Web)"/>
    <w:basedOn w:val="Normal"/>
    <w:uiPriority w:val="99"/>
    <w:semiHidden/>
    <w:unhideWhenUsed/>
    <w:rsid w:val="00E72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j">
    <w:name w:val="b_aj"/>
    <w:basedOn w:val="Fuentedeprrafopredeter"/>
    <w:rsid w:val="00E72716"/>
  </w:style>
  <w:style w:type="character" w:styleId="Hipervnculo">
    <w:name w:val="Hyperlink"/>
    <w:basedOn w:val="Fuentedeprrafopredeter"/>
    <w:uiPriority w:val="99"/>
    <w:semiHidden/>
    <w:unhideWhenUsed/>
    <w:rsid w:val="00E727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53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ecretariasenado.gov.co/senado/basedoc/ley_1564_2012_pr004.html" TargetMode="External"/><Relationship Id="rId4" Type="http://schemas.openxmlformats.org/officeDocument/2006/relationships/settings" Target="settings.xml"/><Relationship Id="rId9" Type="http://schemas.openxmlformats.org/officeDocument/2006/relationships/hyperlink" Target="http://www.secretariasenado.gov.co/senado/basedoc/ley_1564_2012_pr004.html"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6F2A9-646D-45A3-AEE2-77199C78D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1577</Words>
  <Characters>8677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Alejandro Osuna Carreño</cp:lastModifiedBy>
  <cp:revision>37</cp:revision>
  <dcterms:created xsi:type="dcterms:W3CDTF">2021-09-05T17:43:00Z</dcterms:created>
  <dcterms:modified xsi:type="dcterms:W3CDTF">2021-09-06T04:54:00Z</dcterms:modified>
</cp:coreProperties>
</file>