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55F3808F" w:rsidR="00B713D2" w:rsidRPr="001F2D25" w:rsidRDefault="00ED4ECD" w:rsidP="00B713D2">
      <w:pPr>
        <w:pStyle w:val="Sinespaciado"/>
        <w:ind w:left="-1134"/>
        <w:rPr>
          <w:rFonts w:ascii="Arial" w:hAnsi="Arial" w:cs="Arial"/>
          <w:lang w:val="es-MX"/>
        </w:rPr>
      </w:pPr>
      <w:r w:rsidRPr="001F2D25">
        <w:rPr>
          <w:rFonts w:ascii="Arial" w:eastAsia="Calibri" w:hAnsi="Arial" w:cs="Arial"/>
          <w:lang w:val="es-MX"/>
        </w:rPr>
        <w:t>Elaborada por:</w:t>
      </w:r>
      <w:r w:rsidR="0039283B">
        <w:rPr>
          <w:rFonts w:ascii="Arial" w:eastAsia="Calibri" w:hAnsi="Arial" w:cs="Arial"/>
          <w:lang w:val="es-MX"/>
        </w:rPr>
        <w:t xml:space="preserve"> Lina Ximena Tapia Rubiano</w:t>
      </w:r>
    </w:p>
    <w:p w14:paraId="5F7DBDD4" w14:textId="6582708D" w:rsidR="00ED4ECD" w:rsidRPr="001F2D25" w:rsidRDefault="00B713D2" w:rsidP="00B713D2">
      <w:pPr>
        <w:pStyle w:val="Sinespaciado"/>
        <w:ind w:left="-1134"/>
        <w:rPr>
          <w:rFonts w:ascii="Arial" w:hAnsi="Arial" w:cs="Arial"/>
          <w:lang w:val="es-MX"/>
        </w:rPr>
      </w:pPr>
      <w:r w:rsidRPr="001F2D25">
        <w:rPr>
          <w:rFonts w:ascii="Arial" w:hAnsi="Arial" w:cs="Arial"/>
          <w:lang w:val="es-MX"/>
        </w:rPr>
        <w:t>Fecha:</w:t>
      </w:r>
      <w:r w:rsidR="0039283B">
        <w:rPr>
          <w:rFonts w:ascii="Arial" w:hAnsi="Arial" w:cs="Arial"/>
          <w:lang w:val="es-MX"/>
        </w:rPr>
        <w:t xml:space="preserve"> 03-09-2021</w:t>
      </w:r>
    </w:p>
    <w:p w14:paraId="75E84AC6" w14:textId="3158A14D" w:rsidR="00ED4ECD" w:rsidRPr="001F2D25" w:rsidRDefault="00B713D2" w:rsidP="00B713D2">
      <w:pPr>
        <w:pStyle w:val="Sinespaciado"/>
        <w:ind w:left="-1134"/>
        <w:rPr>
          <w:rFonts w:ascii="Arial" w:hAnsi="Arial" w:cs="Arial"/>
          <w:lang w:val="es-MX"/>
        </w:rPr>
      </w:pPr>
      <w:r w:rsidRPr="001F2D25">
        <w:rPr>
          <w:rFonts w:ascii="Arial" w:hAnsi="Arial" w:cs="Arial"/>
          <w:lang w:val="es-MX"/>
        </w:rPr>
        <w:t>Medio de c</w:t>
      </w:r>
      <w:r w:rsidR="00ED4ECD" w:rsidRPr="001F2D25">
        <w:rPr>
          <w:rFonts w:ascii="Arial" w:hAnsi="Arial" w:cs="Arial"/>
          <w:lang w:val="es-MX"/>
        </w:rPr>
        <w:t xml:space="preserve">ontrol: </w:t>
      </w:r>
      <w:r w:rsidR="0039283B">
        <w:rPr>
          <w:rFonts w:ascii="Arial" w:hAnsi="Arial" w:cs="Arial"/>
          <w:lang w:val="es-MX"/>
        </w:rPr>
        <w:t>Nulidad y Restablecimiento del Derecho</w:t>
      </w:r>
    </w:p>
    <w:p w14:paraId="7517C2DB" w14:textId="77777777" w:rsidR="0039283B" w:rsidRDefault="00B713D2" w:rsidP="0039283B">
      <w:pPr>
        <w:pStyle w:val="Sinespaciado"/>
        <w:ind w:left="-1134"/>
        <w:rPr>
          <w:rFonts w:ascii="Arial" w:hAnsi="Arial" w:cs="Arial"/>
          <w:lang w:val="es-MX"/>
        </w:rPr>
      </w:pPr>
      <w:r w:rsidRPr="001F2D25">
        <w:rPr>
          <w:rFonts w:ascii="Arial" w:hAnsi="Arial" w:cs="Arial"/>
          <w:lang w:val="es-MX"/>
        </w:rPr>
        <w:t>Demandante:</w:t>
      </w:r>
      <w:r w:rsidR="0039283B">
        <w:rPr>
          <w:rFonts w:ascii="Arial" w:hAnsi="Arial" w:cs="Arial"/>
          <w:lang w:val="es-MX"/>
        </w:rPr>
        <w:t xml:space="preserve"> María Elena Calderón Quintero</w:t>
      </w:r>
    </w:p>
    <w:p w14:paraId="1439F77B" w14:textId="625F178F" w:rsidR="0039283B" w:rsidRPr="0039283B" w:rsidRDefault="00B713D2" w:rsidP="0039283B">
      <w:pPr>
        <w:pStyle w:val="Sinespaciado"/>
        <w:ind w:left="-1134"/>
        <w:rPr>
          <w:rFonts w:ascii="Arial" w:hAnsi="Arial" w:cs="Arial"/>
          <w:lang w:val="es-MX"/>
        </w:rPr>
      </w:pPr>
      <w:r w:rsidRPr="001F2D25">
        <w:rPr>
          <w:rFonts w:ascii="Arial" w:hAnsi="Arial" w:cs="Arial"/>
          <w:lang w:val="es-MX"/>
        </w:rPr>
        <w:t>Demandado:</w:t>
      </w:r>
      <w:r w:rsidR="0039283B">
        <w:rPr>
          <w:lang w:val="es-MX"/>
        </w:rPr>
        <w:t xml:space="preserve"> </w:t>
      </w:r>
      <w:r w:rsidR="0039283B" w:rsidRPr="0039283B">
        <w:rPr>
          <w:rFonts w:ascii="Arial" w:hAnsi="Arial" w:cs="Arial"/>
          <w:lang w:val="es-MX"/>
        </w:rPr>
        <w:t>Unidad Administrativa Especial de Gestión Pensional y Parafiscales -UGPP</w:t>
      </w:r>
    </w:p>
    <w:p w14:paraId="1660C8A3" w14:textId="60C6A907" w:rsidR="00B713D2" w:rsidRPr="0039283B"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Pr="001F2D25" w:rsidRDefault="00222D4A" w:rsidP="000F105D">
            <w:pPr>
              <w:pStyle w:val="Sinespaciado"/>
              <w:rPr>
                <w:rFonts w:ascii="Arial" w:eastAsia="Calibri" w:hAnsi="Arial" w:cs="Arial"/>
                <w:lang w:val="es-MX"/>
              </w:rPr>
            </w:pPr>
          </w:p>
          <w:p w14:paraId="5D249CA6" w14:textId="77777777" w:rsidR="00222D4A" w:rsidRPr="001F2D25" w:rsidRDefault="00222D4A"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06368" behindDoc="0" locked="0" layoutInCell="1" allowOverlap="1" wp14:anchorId="7611BAD8" wp14:editId="030C7DA2">
                      <wp:simplePos x="0" y="0"/>
                      <wp:positionH relativeFrom="column">
                        <wp:posOffset>3487547</wp:posOffset>
                      </wp:positionH>
                      <wp:positionV relativeFrom="paragraph">
                        <wp:posOffset>152780</wp:posOffset>
                      </wp:positionV>
                      <wp:extent cx="402336" cy="248717"/>
                      <wp:effectExtent l="0" t="0" r="17145" b="18415"/>
                      <wp:wrapNone/>
                      <wp:docPr id="5" name="Rectángulo 5"/>
                      <wp:cNvGraphicFramePr/>
                      <a:graphic xmlns:a="http://schemas.openxmlformats.org/drawingml/2006/main">
                        <a:graphicData uri="http://schemas.microsoft.com/office/word/2010/wordprocessingShape">
                          <wps:wsp>
                            <wps:cNvSpPr/>
                            <wps:spPr>
                              <a:xfrm>
                                <a:off x="0" y="0"/>
                                <a:ext cx="402336" cy="248717"/>
                              </a:xfrm>
                              <a:prstGeom prst="rect">
                                <a:avLst/>
                              </a:prstGeom>
                            </wps:spPr>
                            <wps:style>
                              <a:lnRef idx="2">
                                <a:schemeClr val="accent6"/>
                              </a:lnRef>
                              <a:fillRef idx="1">
                                <a:schemeClr val="lt1"/>
                              </a:fillRef>
                              <a:effectRef idx="0">
                                <a:schemeClr val="accent6"/>
                              </a:effectRef>
                              <a:fontRef idx="minor">
                                <a:schemeClr val="dk1"/>
                              </a:fontRef>
                            </wps:style>
                            <wps:txbx>
                              <w:txbxContent>
                                <w:p w14:paraId="20AC3E1E" w14:textId="14B71F49" w:rsidR="0039283B" w:rsidRPr="0039283B" w:rsidRDefault="0039283B" w:rsidP="0039283B">
                                  <w:pPr>
                                    <w:jc w:val="center"/>
                                    <w:rPr>
                                      <w:sz w:val="16"/>
                                      <w:szCs w:val="16"/>
                                    </w:rPr>
                                  </w:pPr>
                                  <w:r w:rsidRPr="0039283B">
                                    <w:rPr>
                                      <w:sz w:val="16"/>
                                      <w:szCs w:val="16"/>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11BAD8" id="Rectángulo 5" o:spid="_x0000_s1026" style="position:absolute;margin-left:274.6pt;margin-top:12.05pt;width:31.7pt;height:19.6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" fillcolor="white [3201]" strokecolor="#70ad47 [3209]" strokeweight="1pt">
                      <v:textbox>
                        <w:txbxContent>
                          <w:p w14:paraId="20AC3E1E" w14:textId="14B71F49" w:rsidR="0039283B" w:rsidRPr="0039283B" w:rsidRDefault="0039283B" w:rsidP="0039283B">
                            <w:pPr>
                              <w:jc w:val="center"/>
                              <w:rPr>
                                <w:sz w:val="16"/>
                                <w:szCs w:val="16"/>
                              </w:rPr>
                            </w:pPr>
                            <w:r w:rsidRPr="0039283B">
                              <w:rPr>
                                <w:sz w:val="16"/>
                                <w:szCs w:val="16"/>
                              </w:rPr>
                              <w:t>X</w:t>
                            </w:r>
                          </w:p>
                        </w:txbxContent>
                      </v:textbox>
                    </v:rec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rPr>
              <mc:AlternateContent>
                <mc:Choice Requires="wps">
                  <w:drawing>
                    <wp:anchor distT="0" distB="0" distL="114300" distR="114300" simplePos="0" relativeHeight="251708416" behindDoc="0" locked="0" layoutInCell="1" allowOverlap="1" wp14:anchorId="45B914E8" wp14:editId="3596141A">
                      <wp:simplePos x="0" y="0"/>
                      <wp:positionH relativeFrom="column">
                        <wp:posOffset>3129102</wp:posOffset>
                      </wp:positionH>
                      <wp:positionV relativeFrom="paragraph">
                        <wp:posOffset>153339</wp:posOffset>
                      </wp:positionV>
                      <wp:extent cx="446227" cy="248717"/>
                      <wp:effectExtent l="0" t="0" r="11430" b="18415"/>
                      <wp:wrapNone/>
                      <wp:docPr id="6" name="Rectángulo 6"/>
                      <wp:cNvGraphicFramePr/>
                      <a:graphic xmlns:a="http://schemas.openxmlformats.org/drawingml/2006/main">
                        <a:graphicData uri="http://schemas.microsoft.com/office/word/2010/wordprocessingShape">
                          <wps:wsp>
                            <wps:cNvSpPr/>
                            <wps:spPr>
                              <a:xfrm>
                                <a:off x="0" y="0"/>
                                <a:ext cx="446227" cy="248717"/>
                              </a:xfrm>
                              <a:prstGeom prst="rect">
                                <a:avLst/>
                              </a:prstGeom>
                            </wps:spPr>
                            <wps:style>
                              <a:lnRef idx="2">
                                <a:schemeClr val="accent6"/>
                              </a:lnRef>
                              <a:fillRef idx="1">
                                <a:schemeClr val="lt1"/>
                              </a:fillRef>
                              <a:effectRef idx="0">
                                <a:schemeClr val="accent6"/>
                              </a:effectRef>
                              <a:fontRef idx="minor">
                                <a:schemeClr val="dk1"/>
                              </a:fontRef>
                            </wps:style>
                            <wps:txbx>
                              <w:txbxContent>
                                <w:p w14:paraId="0DE47C72" w14:textId="7F879F21" w:rsidR="0039283B" w:rsidRDefault="0039283B" w:rsidP="0039283B">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B914E8" id="Rectángulo 6" o:spid="_x0000_s1027" style="position:absolute;left:0;text-align:left;margin-left:246.4pt;margin-top:12.05pt;width:35.15pt;height:19.6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" fillcolor="white [3201]" strokecolor="#70ad47 [3209]" strokeweight="1pt">
                      <v:textbox>
                        <w:txbxContent>
                          <w:p w14:paraId="0DE47C72" w14:textId="7F879F21" w:rsidR="0039283B" w:rsidRDefault="0039283B" w:rsidP="0039283B">
                            <w:pPr>
                              <w:jc w:val="center"/>
                            </w:pPr>
                            <w:r>
                              <w:t>X</w:t>
                            </w:r>
                          </w:p>
                        </w:txbxContent>
                      </v:textbox>
                    </v:rect>
                  </w:pict>
                </mc:Fallback>
              </mc:AlternateContent>
            </w:r>
          </w:p>
          <w:p w14:paraId="0884ED88" w14:textId="77777777"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710464" behindDoc="0" locked="0" layoutInCell="1" allowOverlap="1" wp14:anchorId="592904FA" wp14:editId="1E43010A">
                      <wp:simplePos x="0" y="0"/>
                      <wp:positionH relativeFrom="column">
                        <wp:posOffset>1607541</wp:posOffset>
                      </wp:positionH>
                      <wp:positionV relativeFrom="paragraph">
                        <wp:posOffset>322428</wp:posOffset>
                      </wp:positionV>
                      <wp:extent cx="358444" cy="256032"/>
                      <wp:effectExtent l="0" t="0" r="22860" b="10795"/>
                      <wp:wrapNone/>
                      <wp:docPr id="15" name="Rectángulo 15"/>
                      <wp:cNvGraphicFramePr/>
                      <a:graphic xmlns:a="http://schemas.openxmlformats.org/drawingml/2006/main">
                        <a:graphicData uri="http://schemas.microsoft.com/office/word/2010/wordprocessingShape">
                          <wps:wsp>
                            <wps:cNvSpPr/>
                            <wps:spPr>
                              <a:xfrm>
                                <a:off x="0" y="0"/>
                                <a:ext cx="358444" cy="256032"/>
                              </a:xfrm>
                              <a:prstGeom prst="rect">
                                <a:avLst/>
                              </a:prstGeom>
                            </wps:spPr>
                            <wps:style>
                              <a:lnRef idx="2">
                                <a:schemeClr val="accent6"/>
                              </a:lnRef>
                              <a:fillRef idx="1">
                                <a:schemeClr val="lt1"/>
                              </a:fillRef>
                              <a:effectRef idx="0">
                                <a:schemeClr val="accent6"/>
                              </a:effectRef>
                              <a:fontRef idx="minor">
                                <a:schemeClr val="dk1"/>
                              </a:fontRef>
                            </wps:style>
                            <wps:txbx>
                              <w:txbxContent>
                                <w:p w14:paraId="7EF65870" w14:textId="17D453FD" w:rsidR="0039283B" w:rsidRDefault="0039283B" w:rsidP="0039283B">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2904FA" id="Rectángulo 15" o:spid="_x0000_s1028" style="position:absolute;left:0;text-align:left;margin-left:126.6pt;margin-top:25.4pt;width:28.2pt;height:20.1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" fillcolor="white [3201]" strokecolor="#70ad47 [3209]" strokeweight="1pt">
                      <v:textbox>
                        <w:txbxContent>
                          <w:p w14:paraId="7EF65870" w14:textId="17D453FD" w:rsidR="0039283B" w:rsidRDefault="0039283B" w:rsidP="0039283B">
                            <w:pPr>
                              <w:jc w:val="center"/>
                            </w:pPr>
                            <w:r>
                              <w:t>X</w:t>
                            </w:r>
                          </w:p>
                        </w:txbxContent>
                      </v:textbox>
                    </v:rec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12512" behindDoc="0" locked="0" layoutInCell="1" allowOverlap="1" wp14:anchorId="3D214EC7" wp14:editId="36BFAF79">
                      <wp:simplePos x="0" y="0"/>
                      <wp:positionH relativeFrom="column">
                        <wp:posOffset>1022325</wp:posOffset>
                      </wp:positionH>
                      <wp:positionV relativeFrom="paragraph">
                        <wp:posOffset>177241</wp:posOffset>
                      </wp:positionV>
                      <wp:extent cx="343814" cy="241402"/>
                      <wp:effectExtent l="0" t="0" r="18415" b="25400"/>
                      <wp:wrapNone/>
                      <wp:docPr id="18" name="Rectángulo 18"/>
                      <wp:cNvGraphicFramePr/>
                      <a:graphic xmlns:a="http://schemas.openxmlformats.org/drawingml/2006/main">
                        <a:graphicData uri="http://schemas.microsoft.com/office/word/2010/wordprocessingShape">
                          <wps:wsp>
                            <wps:cNvSpPr/>
                            <wps:spPr>
                              <a:xfrm>
                                <a:off x="0" y="0"/>
                                <a:ext cx="343814" cy="241402"/>
                              </a:xfrm>
                              <a:prstGeom prst="rect">
                                <a:avLst/>
                              </a:prstGeom>
                            </wps:spPr>
                            <wps:style>
                              <a:lnRef idx="2">
                                <a:schemeClr val="accent6"/>
                              </a:lnRef>
                              <a:fillRef idx="1">
                                <a:schemeClr val="lt1"/>
                              </a:fillRef>
                              <a:effectRef idx="0">
                                <a:schemeClr val="accent6"/>
                              </a:effectRef>
                              <a:fontRef idx="minor">
                                <a:schemeClr val="dk1"/>
                              </a:fontRef>
                            </wps:style>
                            <wps:txbx>
                              <w:txbxContent>
                                <w:p w14:paraId="08DE7D67" w14:textId="1C10D184" w:rsidR="0039283B" w:rsidRDefault="0039283B" w:rsidP="0039283B">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214EC7" id="Rectángulo 18" o:spid="_x0000_s1029" style="position:absolute;left:0;text-align:left;margin-left:80.5pt;margin-top:13.95pt;width:27.05pt;height:19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" fillcolor="white [3201]" strokecolor="#70ad47 [3209]" strokeweight="1pt">
                      <v:textbox>
                        <w:txbxContent>
                          <w:p w14:paraId="08DE7D67" w14:textId="1C10D184" w:rsidR="0039283B" w:rsidRDefault="0039283B" w:rsidP="0039283B">
                            <w:pPr>
                              <w:jc w:val="center"/>
                            </w:pPr>
                            <w:r>
                              <w:t>X</w:t>
                            </w:r>
                          </w:p>
                        </w:txbxContent>
                      </v:textbox>
                    </v:rec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lastRenderedPageBreak/>
              <w:t xml:space="preserve">En la misma providencia debe fijar el litigio u objeto de la controversia. </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Pr="001F2D25" w:rsidRDefault="004430DA"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60253AF2" w:rsidR="00ED4ECD" w:rsidRDefault="00ED4ECD" w:rsidP="00ED4ECD">
      <w:pPr>
        <w:rPr>
          <w:rFonts w:ascii="Arial" w:hAnsi="Arial" w:cs="Arial"/>
        </w:rPr>
      </w:pPr>
    </w:p>
    <w:p w14:paraId="0F533933" w14:textId="06C6007E" w:rsidR="00B40D64" w:rsidRDefault="00B40D64" w:rsidP="00ED4ECD">
      <w:pPr>
        <w:rPr>
          <w:rFonts w:ascii="Arial" w:hAnsi="Arial" w:cs="Arial"/>
        </w:rPr>
      </w:pPr>
    </w:p>
    <w:p w14:paraId="750DA6A1" w14:textId="27BE6BEC" w:rsidR="00B40D64" w:rsidRDefault="00B40D64" w:rsidP="00ED4ECD">
      <w:pPr>
        <w:rPr>
          <w:rFonts w:ascii="Arial" w:hAnsi="Arial" w:cs="Arial"/>
        </w:rPr>
      </w:pPr>
    </w:p>
    <w:p w14:paraId="4F3EF2E8" w14:textId="3CF994A2" w:rsidR="00B40D64" w:rsidRDefault="00B40D64" w:rsidP="00ED4ECD">
      <w:pPr>
        <w:rPr>
          <w:rFonts w:ascii="Arial" w:hAnsi="Arial" w:cs="Arial"/>
        </w:rPr>
      </w:pPr>
    </w:p>
    <w:p w14:paraId="4DC7E956" w14:textId="094F63F5" w:rsidR="00B40D64" w:rsidRDefault="00B40D64" w:rsidP="00ED4ECD">
      <w:pPr>
        <w:rPr>
          <w:rFonts w:ascii="Arial" w:hAnsi="Arial" w:cs="Arial"/>
        </w:rPr>
      </w:pPr>
    </w:p>
    <w:p w14:paraId="6E78CEEF" w14:textId="1C50FD90" w:rsidR="00B40D64" w:rsidRPr="009E3B1E" w:rsidRDefault="00B40D64" w:rsidP="00B40D64">
      <w:pPr>
        <w:rPr>
          <w:rFonts w:ascii="Arial" w:hAnsi="Arial" w:cs="Arial"/>
          <w:b/>
        </w:rPr>
      </w:pPr>
      <w:r w:rsidRPr="009E3B1E">
        <w:rPr>
          <w:rFonts w:ascii="Arial" w:hAnsi="Arial" w:cs="Arial"/>
          <w:noProof/>
        </w:rPr>
        <w:lastRenderedPageBreak/>
        <w:drawing>
          <wp:inline distT="0" distB="0" distL="0" distR="0" wp14:anchorId="75919E74" wp14:editId="0E08C338">
            <wp:extent cx="3115945" cy="738835"/>
            <wp:effectExtent l="0" t="0" r="0" b="444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31788" cy="742592"/>
                    </a:xfrm>
                    <a:prstGeom prst="rect">
                      <a:avLst/>
                    </a:prstGeom>
                    <a:noFill/>
                    <a:ln>
                      <a:noFill/>
                    </a:ln>
                  </pic:spPr>
                </pic:pic>
              </a:graphicData>
            </a:graphic>
          </wp:inline>
        </w:drawing>
      </w:r>
    </w:p>
    <w:p w14:paraId="5872184A" w14:textId="77777777" w:rsidR="00B40D64" w:rsidRDefault="00B40D64" w:rsidP="00B40D64">
      <w:pPr>
        <w:spacing w:after="0" w:line="240" w:lineRule="auto"/>
        <w:jc w:val="center"/>
        <w:rPr>
          <w:rFonts w:ascii="Arial" w:hAnsi="Arial" w:cs="Arial"/>
          <w:b/>
          <w:sz w:val="28"/>
          <w:szCs w:val="28"/>
          <w:lang w:val="es-MX"/>
        </w:rPr>
      </w:pPr>
      <w:r w:rsidRPr="003E67B9">
        <w:rPr>
          <w:rFonts w:ascii="Arial" w:hAnsi="Arial" w:cs="Arial"/>
          <w:b/>
          <w:sz w:val="28"/>
          <w:szCs w:val="28"/>
          <w:lang w:val="es-MX"/>
        </w:rPr>
        <w:t>JUZGADO NOVENO ADMINISTRATIVO DE NEIVA</w:t>
      </w:r>
    </w:p>
    <w:p w14:paraId="34926035" w14:textId="77777777" w:rsidR="00B40D64" w:rsidRDefault="00B40D64" w:rsidP="00B40D64">
      <w:pPr>
        <w:spacing w:after="0" w:line="240" w:lineRule="auto"/>
        <w:jc w:val="center"/>
        <w:rPr>
          <w:rFonts w:ascii="Arial" w:hAnsi="Arial" w:cs="Arial"/>
          <w:b/>
          <w:sz w:val="24"/>
          <w:szCs w:val="24"/>
        </w:rPr>
      </w:pPr>
    </w:p>
    <w:p w14:paraId="473235D0" w14:textId="61C74441" w:rsidR="00B40D64" w:rsidRDefault="00B40D64" w:rsidP="00B40D64">
      <w:pPr>
        <w:spacing w:after="0" w:line="240" w:lineRule="auto"/>
        <w:jc w:val="center"/>
        <w:rPr>
          <w:rFonts w:ascii="Arial" w:hAnsi="Arial" w:cs="Arial"/>
          <w:b/>
          <w:sz w:val="24"/>
          <w:szCs w:val="24"/>
        </w:rPr>
      </w:pPr>
      <w:r w:rsidRPr="00E03144">
        <w:rPr>
          <w:rFonts w:ascii="Arial" w:hAnsi="Arial" w:cs="Arial"/>
          <w:b/>
          <w:sz w:val="24"/>
          <w:szCs w:val="24"/>
        </w:rPr>
        <w:t xml:space="preserve">Neiva, </w:t>
      </w:r>
      <w:r>
        <w:rPr>
          <w:rFonts w:ascii="Arial" w:hAnsi="Arial" w:cs="Arial"/>
          <w:b/>
          <w:sz w:val="24"/>
          <w:szCs w:val="24"/>
        </w:rPr>
        <w:t>tres (3) de septiembre</w:t>
      </w:r>
      <w:r>
        <w:rPr>
          <w:rFonts w:ascii="Arial" w:hAnsi="Arial" w:cs="Arial"/>
          <w:b/>
          <w:sz w:val="24"/>
          <w:szCs w:val="24"/>
        </w:rPr>
        <w:t xml:space="preserve"> </w:t>
      </w:r>
      <w:r w:rsidRPr="00E03144">
        <w:rPr>
          <w:rFonts w:ascii="Arial" w:hAnsi="Arial" w:cs="Arial"/>
          <w:b/>
          <w:sz w:val="24"/>
          <w:szCs w:val="24"/>
        </w:rPr>
        <w:t xml:space="preserve">de dos mil </w:t>
      </w:r>
      <w:r>
        <w:rPr>
          <w:rFonts w:ascii="Arial" w:hAnsi="Arial" w:cs="Arial"/>
          <w:b/>
          <w:sz w:val="24"/>
          <w:szCs w:val="24"/>
        </w:rPr>
        <w:t xml:space="preserve">veintiuno </w:t>
      </w:r>
      <w:r w:rsidRPr="00E03144">
        <w:rPr>
          <w:rFonts w:ascii="Arial" w:hAnsi="Arial" w:cs="Arial"/>
          <w:b/>
          <w:sz w:val="24"/>
          <w:szCs w:val="24"/>
        </w:rPr>
        <w:t>(20</w:t>
      </w:r>
      <w:r>
        <w:rPr>
          <w:rFonts w:ascii="Arial" w:hAnsi="Arial" w:cs="Arial"/>
          <w:b/>
          <w:sz w:val="24"/>
          <w:szCs w:val="24"/>
        </w:rPr>
        <w:t xml:space="preserve">21). </w:t>
      </w:r>
    </w:p>
    <w:p w14:paraId="6C4740B4" w14:textId="77777777" w:rsidR="00B40D64" w:rsidRPr="00E03144" w:rsidRDefault="00B40D64" w:rsidP="00B40D64">
      <w:pPr>
        <w:spacing w:after="0" w:line="240" w:lineRule="auto"/>
        <w:jc w:val="center"/>
        <w:rPr>
          <w:rFonts w:ascii="Arial" w:hAnsi="Arial" w:cs="Arial"/>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2"/>
        <w:gridCol w:w="4000"/>
      </w:tblGrid>
      <w:tr w:rsidR="00B40D64" w:rsidRPr="00B40D64" w14:paraId="41051D87" w14:textId="77777777" w:rsidTr="00B40D64">
        <w:trPr>
          <w:jc w:val="center"/>
        </w:trPr>
        <w:tc>
          <w:tcPr>
            <w:tcW w:w="2452" w:type="dxa"/>
            <w:shd w:val="clear" w:color="auto" w:fill="auto"/>
          </w:tcPr>
          <w:p w14:paraId="45B66F34" w14:textId="4C55749A" w:rsidR="00B40D64" w:rsidRPr="00B40D64" w:rsidRDefault="00B40D64" w:rsidP="00B40D64">
            <w:pPr>
              <w:tabs>
                <w:tab w:val="left" w:pos="2552"/>
              </w:tabs>
              <w:spacing w:after="0" w:line="240" w:lineRule="auto"/>
              <w:rPr>
                <w:rFonts w:ascii="Arial" w:hAnsi="Arial" w:cs="Arial"/>
                <w:b/>
                <w:i/>
                <w:sz w:val="18"/>
                <w:szCs w:val="18"/>
              </w:rPr>
            </w:pPr>
            <w:r w:rsidRPr="00B40D64">
              <w:rPr>
                <w:rFonts w:ascii="Arial" w:hAnsi="Arial" w:cs="Arial"/>
                <w:b/>
                <w:bCs/>
                <w:sz w:val="18"/>
                <w:szCs w:val="18"/>
              </w:rPr>
              <w:t>MEDIO DE CONTROL</w:t>
            </w:r>
          </w:p>
        </w:tc>
        <w:tc>
          <w:tcPr>
            <w:tcW w:w="4000" w:type="dxa"/>
            <w:shd w:val="clear" w:color="auto" w:fill="auto"/>
          </w:tcPr>
          <w:p w14:paraId="02D503F2" w14:textId="15A2030C" w:rsidR="00B40D64" w:rsidRPr="00B40D64" w:rsidRDefault="00B40D64" w:rsidP="00B40D64">
            <w:pPr>
              <w:tabs>
                <w:tab w:val="left" w:pos="2552"/>
              </w:tabs>
              <w:spacing w:after="0" w:line="240" w:lineRule="auto"/>
              <w:rPr>
                <w:rFonts w:ascii="Arial" w:hAnsi="Arial" w:cs="Arial"/>
                <w:i/>
                <w:sz w:val="18"/>
                <w:szCs w:val="18"/>
              </w:rPr>
            </w:pPr>
            <w:r w:rsidRPr="00B40D64">
              <w:rPr>
                <w:rFonts w:ascii="Arial" w:hAnsi="Arial" w:cs="Arial"/>
                <w:b/>
                <w:bCs/>
                <w:sz w:val="18"/>
                <w:szCs w:val="18"/>
              </w:rPr>
              <w:t>NULIDAD Y RESTABLECIMIENTO DEL DERECHO</w:t>
            </w:r>
          </w:p>
        </w:tc>
      </w:tr>
      <w:tr w:rsidR="00B40D64" w:rsidRPr="00B40D64" w14:paraId="389A64F6" w14:textId="77777777" w:rsidTr="00B40D64">
        <w:trPr>
          <w:jc w:val="center"/>
        </w:trPr>
        <w:tc>
          <w:tcPr>
            <w:tcW w:w="2452" w:type="dxa"/>
            <w:shd w:val="clear" w:color="auto" w:fill="auto"/>
          </w:tcPr>
          <w:p w14:paraId="7C4A89E0" w14:textId="6312564E" w:rsidR="00B40D64" w:rsidRPr="00B40D64" w:rsidRDefault="00B40D64" w:rsidP="00B40D64">
            <w:pPr>
              <w:tabs>
                <w:tab w:val="left" w:pos="2552"/>
              </w:tabs>
              <w:spacing w:after="0" w:line="240" w:lineRule="auto"/>
              <w:rPr>
                <w:rFonts w:ascii="Arial" w:hAnsi="Arial" w:cs="Arial"/>
                <w:b/>
                <w:i/>
                <w:sz w:val="18"/>
                <w:szCs w:val="18"/>
              </w:rPr>
            </w:pPr>
            <w:r w:rsidRPr="00B40D64">
              <w:rPr>
                <w:rFonts w:ascii="Arial" w:hAnsi="Arial" w:cs="Arial"/>
                <w:b/>
                <w:bCs/>
                <w:sz w:val="18"/>
                <w:szCs w:val="18"/>
              </w:rPr>
              <w:t>DEMANDANTE</w:t>
            </w:r>
          </w:p>
        </w:tc>
        <w:tc>
          <w:tcPr>
            <w:tcW w:w="4000" w:type="dxa"/>
            <w:shd w:val="clear" w:color="auto" w:fill="auto"/>
          </w:tcPr>
          <w:p w14:paraId="5298524E" w14:textId="7F8B3CE2" w:rsidR="00B40D64" w:rsidRPr="00B40D64" w:rsidRDefault="00B40D64" w:rsidP="00B40D64">
            <w:pPr>
              <w:tabs>
                <w:tab w:val="left" w:pos="2552"/>
              </w:tabs>
              <w:spacing w:after="0" w:line="240" w:lineRule="auto"/>
              <w:rPr>
                <w:rFonts w:ascii="Arial" w:hAnsi="Arial" w:cs="Arial"/>
                <w:i/>
                <w:sz w:val="18"/>
                <w:szCs w:val="18"/>
              </w:rPr>
            </w:pPr>
            <w:r w:rsidRPr="00B40D64">
              <w:rPr>
                <w:rFonts w:ascii="Arial" w:hAnsi="Arial" w:cs="Arial"/>
                <w:b/>
                <w:bCs/>
                <w:sz w:val="18"/>
                <w:szCs w:val="18"/>
              </w:rPr>
              <w:t>MARIA ELENA CALDERON QUINTERO</w:t>
            </w:r>
          </w:p>
        </w:tc>
      </w:tr>
      <w:tr w:rsidR="00B40D64" w:rsidRPr="00B40D64" w14:paraId="62D135E6" w14:textId="77777777" w:rsidTr="00B40D64">
        <w:trPr>
          <w:jc w:val="center"/>
        </w:trPr>
        <w:tc>
          <w:tcPr>
            <w:tcW w:w="2452" w:type="dxa"/>
            <w:shd w:val="clear" w:color="auto" w:fill="auto"/>
          </w:tcPr>
          <w:p w14:paraId="161FF70E" w14:textId="1C5271BA" w:rsidR="00B40D64" w:rsidRPr="00B40D64" w:rsidRDefault="00B40D64" w:rsidP="00B40D64">
            <w:pPr>
              <w:tabs>
                <w:tab w:val="left" w:pos="2552"/>
              </w:tabs>
              <w:spacing w:after="0" w:line="240" w:lineRule="auto"/>
              <w:rPr>
                <w:rFonts w:ascii="Arial" w:hAnsi="Arial" w:cs="Arial"/>
                <w:b/>
                <w:i/>
                <w:sz w:val="18"/>
                <w:szCs w:val="18"/>
              </w:rPr>
            </w:pPr>
            <w:r w:rsidRPr="00B40D64">
              <w:rPr>
                <w:rFonts w:ascii="Arial" w:hAnsi="Arial" w:cs="Arial"/>
                <w:b/>
                <w:bCs/>
                <w:sz w:val="18"/>
                <w:szCs w:val="18"/>
              </w:rPr>
              <w:t>DEMANDADA</w:t>
            </w:r>
          </w:p>
        </w:tc>
        <w:tc>
          <w:tcPr>
            <w:tcW w:w="4000" w:type="dxa"/>
            <w:shd w:val="clear" w:color="auto" w:fill="auto"/>
          </w:tcPr>
          <w:p w14:paraId="635584B6" w14:textId="3961EA2D" w:rsidR="00B40D64" w:rsidRPr="00B40D64" w:rsidRDefault="00B40D64" w:rsidP="00B40D64">
            <w:pPr>
              <w:tabs>
                <w:tab w:val="left" w:pos="2552"/>
              </w:tabs>
              <w:spacing w:after="0" w:line="240" w:lineRule="auto"/>
              <w:rPr>
                <w:rFonts w:ascii="Arial" w:hAnsi="Arial" w:cs="Arial"/>
                <w:i/>
                <w:sz w:val="18"/>
                <w:szCs w:val="18"/>
              </w:rPr>
            </w:pPr>
            <w:r w:rsidRPr="00B40D64">
              <w:rPr>
                <w:rFonts w:ascii="Arial" w:hAnsi="Arial" w:cs="Arial"/>
                <w:b/>
                <w:bCs/>
                <w:sz w:val="18"/>
                <w:szCs w:val="18"/>
              </w:rPr>
              <w:t>UNIDAD ADMINISTRATIVA ESPECIAL DE GESTION PENSIONAL Y PARAFISCALES-UGPP</w:t>
            </w:r>
          </w:p>
        </w:tc>
      </w:tr>
      <w:tr w:rsidR="00B40D64" w:rsidRPr="00B40D64" w14:paraId="60D2F33D" w14:textId="77777777" w:rsidTr="00B40D64">
        <w:trPr>
          <w:jc w:val="center"/>
        </w:trPr>
        <w:tc>
          <w:tcPr>
            <w:tcW w:w="2452" w:type="dxa"/>
            <w:shd w:val="clear" w:color="auto" w:fill="auto"/>
          </w:tcPr>
          <w:p w14:paraId="0F0D9518" w14:textId="77777777" w:rsidR="00B40D64" w:rsidRPr="00B40D64" w:rsidRDefault="00B40D64" w:rsidP="00B40D64">
            <w:pPr>
              <w:tabs>
                <w:tab w:val="left" w:pos="2552"/>
              </w:tabs>
              <w:spacing w:after="0" w:line="240" w:lineRule="auto"/>
              <w:rPr>
                <w:rFonts w:ascii="Arial" w:hAnsi="Arial" w:cs="Arial"/>
                <w:b/>
                <w:i/>
                <w:sz w:val="18"/>
                <w:szCs w:val="18"/>
              </w:rPr>
            </w:pPr>
            <w:r w:rsidRPr="00B40D64">
              <w:rPr>
                <w:rFonts w:ascii="Arial" w:hAnsi="Arial" w:cs="Arial"/>
                <w:b/>
                <w:i/>
                <w:sz w:val="18"/>
                <w:szCs w:val="18"/>
              </w:rPr>
              <w:t>RADICACIÓN:</w:t>
            </w:r>
          </w:p>
        </w:tc>
        <w:tc>
          <w:tcPr>
            <w:tcW w:w="4000" w:type="dxa"/>
            <w:shd w:val="clear" w:color="auto" w:fill="auto"/>
          </w:tcPr>
          <w:p w14:paraId="171D79B6" w14:textId="449876EC" w:rsidR="00B40D64" w:rsidRPr="00B40D64" w:rsidRDefault="00B40D64" w:rsidP="00B40D64">
            <w:pPr>
              <w:tabs>
                <w:tab w:val="left" w:pos="2552"/>
              </w:tabs>
              <w:spacing w:after="0" w:line="240" w:lineRule="auto"/>
              <w:rPr>
                <w:rFonts w:ascii="Arial" w:hAnsi="Arial" w:cs="Arial"/>
                <w:i/>
                <w:sz w:val="18"/>
                <w:szCs w:val="18"/>
              </w:rPr>
            </w:pPr>
            <w:r w:rsidRPr="00B40D64">
              <w:rPr>
                <w:rFonts w:ascii="Arial" w:hAnsi="Arial" w:cs="Arial"/>
                <w:b/>
                <w:bCs/>
                <w:sz w:val="18"/>
                <w:szCs w:val="18"/>
              </w:rPr>
              <w:t>41 001 33 33 009 2018 00349-00</w:t>
            </w:r>
          </w:p>
        </w:tc>
      </w:tr>
    </w:tbl>
    <w:p w14:paraId="45BA6E11" w14:textId="1C1D67A2" w:rsidR="00B40D64" w:rsidRDefault="00B40D64" w:rsidP="00B40D64">
      <w:pPr>
        <w:spacing w:after="0" w:line="240" w:lineRule="auto"/>
        <w:rPr>
          <w:rFonts w:ascii="Arial" w:hAnsi="Arial" w:cs="Arial"/>
        </w:rPr>
      </w:pPr>
    </w:p>
    <w:p w14:paraId="231CF6EC" w14:textId="1D9AB136" w:rsidR="00B40D64" w:rsidRDefault="00B40D64" w:rsidP="00B40D64">
      <w:pPr>
        <w:pStyle w:val="Default"/>
        <w:jc w:val="both"/>
        <w:rPr>
          <w:sz w:val="23"/>
          <w:szCs w:val="23"/>
        </w:rPr>
      </w:pPr>
      <w:r>
        <w:rPr>
          <w:sz w:val="23"/>
          <w:szCs w:val="23"/>
        </w:rPr>
        <w:t xml:space="preserve">Una vez estudiado el expediente de la referencia, advierte el Despacho que la entidad demandada contestó la demanda, pero no propuso excepciones con el carácter de previas, ni de las denominadas mixtas sobre las cuales el despacho se deba pronunciar. </w:t>
      </w:r>
    </w:p>
    <w:p w14:paraId="528D3264" w14:textId="77777777" w:rsidR="00B40D64" w:rsidRDefault="00B40D64" w:rsidP="00B40D64">
      <w:pPr>
        <w:pStyle w:val="Default"/>
        <w:jc w:val="both"/>
        <w:rPr>
          <w:sz w:val="23"/>
          <w:szCs w:val="23"/>
        </w:rPr>
      </w:pPr>
    </w:p>
    <w:p w14:paraId="293987CA" w14:textId="0DD31500" w:rsidR="00B40D64" w:rsidRDefault="00B40D64" w:rsidP="00B40D64">
      <w:pPr>
        <w:pStyle w:val="Default"/>
        <w:jc w:val="both"/>
        <w:rPr>
          <w:sz w:val="23"/>
          <w:szCs w:val="23"/>
        </w:rPr>
      </w:pPr>
      <w:r>
        <w:rPr>
          <w:sz w:val="23"/>
          <w:szCs w:val="23"/>
        </w:rPr>
        <w:t xml:space="preserve">Ahora, respecto a la excepción de prescripción propuesta por la entidad demandada, esta se resolverá al momento de dictar sentencia una vez se establezca si a la parte actora le asiste o no, el derecho pretendido. Razón por la cual, se procede a estudiar la posibilidad de dictar sentencia anticipada conforme lo dispuesto en el artículo 182 A del CPACA. </w:t>
      </w:r>
    </w:p>
    <w:p w14:paraId="75D95F56" w14:textId="77777777" w:rsidR="00B40D64" w:rsidRDefault="00B40D64" w:rsidP="00B40D64">
      <w:pPr>
        <w:pStyle w:val="Default"/>
        <w:jc w:val="both"/>
        <w:rPr>
          <w:sz w:val="23"/>
          <w:szCs w:val="23"/>
        </w:rPr>
      </w:pPr>
    </w:p>
    <w:p w14:paraId="1F1B11DF" w14:textId="3591714C" w:rsidR="00B40D64" w:rsidRDefault="00B40D64" w:rsidP="00B40D64">
      <w:pPr>
        <w:pStyle w:val="Default"/>
        <w:rPr>
          <w:b/>
          <w:bCs/>
          <w:sz w:val="23"/>
          <w:szCs w:val="23"/>
        </w:rPr>
      </w:pPr>
      <w:r w:rsidRPr="00B40D64">
        <w:rPr>
          <w:b/>
          <w:bCs/>
          <w:sz w:val="23"/>
          <w:szCs w:val="23"/>
        </w:rPr>
        <w:t>1.</w:t>
      </w:r>
      <w:r>
        <w:rPr>
          <w:b/>
          <w:bCs/>
          <w:sz w:val="23"/>
          <w:szCs w:val="23"/>
        </w:rPr>
        <w:t xml:space="preserve"> </w:t>
      </w:r>
      <w:r>
        <w:rPr>
          <w:b/>
          <w:bCs/>
          <w:sz w:val="23"/>
          <w:szCs w:val="23"/>
        </w:rPr>
        <w:t xml:space="preserve">CONSIDERACIONES. </w:t>
      </w:r>
    </w:p>
    <w:p w14:paraId="2FBDECE3" w14:textId="77777777" w:rsidR="00B40D64" w:rsidRDefault="00B40D64" w:rsidP="00B40D64">
      <w:pPr>
        <w:pStyle w:val="Default"/>
        <w:rPr>
          <w:sz w:val="23"/>
          <w:szCs w:val="23"/>
        </w:rPr>
      </w:pPr>
    </w:p>
    <w:p w14:paraId="6C896868" w14:textId="77777777" w:rsidR="00B40D64" w:rsidRDefault="00B40D64" w:rsidP="00B40D64">
      <w:pPr>
        <w:pStyle w:val="Default"/>
        <w:rPr>
          <w:sz w:val="23"/>
          <w:szCs w:val="23"/>
        </w:rPr>
      </w:pPr>
      <w:r>
        <w:rPr>
          <w:b/>
          <w:bCs/>
          <w:sz w:val="23"/>
          <w:szCs w:val="23"/>
        </w:rPr>
        <w:t xml:space="preserve">1.1. De la posibilidad de dictar sentencia anticipada. </w:t>
      </w:r>
    </w:p>
    <w:p w14:paraId="6E775A29" w14:textId="77777777" w:rsidR="00B40D64" w:rsidRDefault="00B40D64" w:rsidP="00B40D64">
      <w:pPr>
        <w:pStyle w:val="Default"/>
        <w:rPr>
          <w:sz w:val="23"/>
          <w:szCs w:val="23"/>
        </w:rPr>
      </w:pPr>
    </w:p>
    <w:p w14:paraId="73CAC4D0" w14:textId="57FE208E" w:rsidR="00B40D64" w:rsidRDefault="00B40D64" w:rsidP="00B40D64">
      <w:pPr>
        <w:pStyle w:val="Default"/>
        <w:jc w:val="both"/>
        <w:rPr>
          <w:sz w:val="23"/>
          <w:szCs w:val="23"/>
        </w:rPr>
      </w:pPr>
      <w:r>
        <w:rPr>
          <w:sz w:val="23"/>
          <w:szCs w:val="23"/>
        </w:rPr>
        <w:t>Una vez analizado el trámite impartido al presente proceso y estando al Despacho para fijar fecha para la celebración de la audiencia inicial de que trata el artículo 180 del CPACA, se procede a verificar la hipótesis artículo 182A de la Ley 1437 de 2011, disposición normativa adicionada por el artículo 42 de la Ley 2080 de 2021</w:t>
      </w:r>
      <w:r>
        <w:rPr>
          <w:rStyle w:val="Refdenotaalpie"/>
          <w:sz w:val="23"/>
          <w:szCs w:val="23"/>
        </w:rPr>
        <w:footnoteReference w:id="1"/>
      </w:r>
      <w:r>
        <w:rPr>
          <w:sz w:val="23"/>
          <w:szCs w:val="23"/>
        </w:rPr>
        <w:t xml:space="preserve">, para dictar sentencia anticipada, toda vez que no es necesario practicar pruebas y no existen excepciones pendientes de resolver, por lo que no se llevará a cabo audiencia inicial y se adoptarán las medidas para adecuar el trámite a la citada disposición normativa, que en este punto dispone: </w:t>
      </w:r>
    </w:p>
    <w:p w14:paraId="44ED4B62" w14:textId="21601347" w:rsidR="00B40D64" w:rsidRDefault="00B40D64" w:rsidP="00B40D64">
      <w:pPr>
        <w:pStyle w:val="Default"/>
        <w:rPr>
          <w:sz w:val="23"/>
          <w:szCs w:val="23"/>
        </w:rPr>
      </w:pPr>
      <w:r>
        <w:rPr>
          <w:rFonts w:ascii="Times New Roman" w:hAnsi="Times New Roman" w:cs="Times New Roman"/>
          <w:sz w:val="13"/>
          <w:szCs w:val="13"/>
        </w:rPr>
        <w:t>1</w:t>
      </w:r>
    </w:p>
    <w:p w14:paraId="5E71D720" w14:textId="77777777" w:rsidR="00B40D64" w:rsidRDefault="00B40D64" w:rsidP="00B40D64">
      <w:pPr>
        <w:pStyle w:val="Default"/>
        <w:rPr>
          <w:sz w:val="20"/>
          <w:szCs w:val="20"/>
        </w:rPr>
      </w:pPr>
      <w:r>
        <w:rPr>
          <w:i/>
          <w:iCs/>
          <w:sz w:val="20"/>
          <w:szCs w:val="20"/>
        </w:rPr>
        <w:t xml:space="preserve">“Artículo 42. Adiciónese a la Ley 1437 de 2011 el artículo 182A, el cual será del siguiente tenor: </w:t>
      </w:r>
    </w:p>
    <w:p w14:paraId="5056CF60" w14:textId="77777777" w:rsidR="00B40D64" w:rsidRDefault="00B40D64" w:rsidP="00B40D64">
      <w:pPr>
        <w:pStyle w:val="Default"/>
        <w:rPr>
          <w:sz w:val="20"/>
          <w:szCs w:val="20"/>
        </w:rPr>
      </w:pPr>
      <w:r>
        <w:rPr>
          <w:i/>
          <w:iCs/>
          <w:sz w:val="20"/>
          <w:szCs w:val="20"/>
        </w:rPr>
        <w:t xml:space="preserve">Artículo 182A. Sentencia anticipada. Se podrá dictar sentencia anticipada: </w:t>
      </w:r>
    </w:p>
    <w:p w14:paraId="2D5E6D2B" w14:textId="77777777" w:rsidR="00B40D64" w:rsidRDefault="00B40D64" w:rsidP="00B40D64">
      <w:pPr>
        <w:pStyle w:val="Default"/>
        <w:rPr>
          <w:sz w:val="20"/>
          <w:szCs w:val="20"/>
        </w:rPr>
      </w:pPr>
      <w:r>
        <w:rPr>
          <w:i/>
          <w:iCs/>
          <w:sz w:val="20"/>
          <w:szCs w:val="20"/>
        </w:rPr>
        <w:t xml:space="preserve">1. Antes de la audiencia inicial: </w:t>
      </w:r>
    </w:p>
    <w:p w14:paraId="1A8ED58D" w14:textId="77777777" w:rsidR="00B40D64" w:rsidRDefault="00B40D64" w:rsidP="00B40D64">
      <w:pPr>
        <w:pStyle w:val="Default"/>
        <w:rPr>
          <w:sz w:val="20"/>
          <w:szCs w:val="20"/>
        </w:rPr>
      </w:pPr>
    </w:p>
    <w:p w14:paraId="74A34E46" w14:textId="77777777" w:rsidR="00B40D64" w:rsidRDefault="00B40D64" w:rsidP="00B40D64">
      <w:pPr>
        <w:pStyle w:val="Default"/>
        <w:rPr>
          <w:sz w:val="20"/>
          <w:szCs w:val="20"/>
        </w:rPr>
      </w:pPr>
      <w:r>
        <w:rPr>
          <w:i/>
          <w:iCs/>
          <w:sz w:val="20"/>
          <w:szCs w:val="20"/>
        </w:rPr>
        <w:t xml:space="preserve">a) Cuando se trate de asuntos de puro derecho; </w:t>
      </w:r>
    </w:p>
    <w:p w14:paraId="37FEBB48" w14:textId="77777777" w:rsidR="00B40D64" w:rsidRDefault="00B40D64" w:rsidP="00B40D64">
      <w:pPr>
        <w:pStyle w:val="Default"/>
        <w:rPr>
          <w:sz w:val="20"/>
          <w:szCs w:val="20"/>
        </w:rPr>
      </w:pPr>
      <w:r>
        <w:rPr>
          <w:i/>
          <w:iCs/>
          <w:sz w:val="20"/>
          <w:szCs w:val="20"/>
        </w:rPr>
        <w:t xml:space="preserve">b) Cuando no haya que practicar pruebas; </w:t>
      </w:r>
    </w:p>
    <w:p w14:paraId="426389B4" w14:textId="77777777" w:rsidR="00B40D64" w:rsidRDefault="00B40D64" w:rsidP="00B40D64">
      <w:pPr>
        <w:pStyle w:val="Default"/>
        <w:rPr>
          <w:sz w:val="20"/>
          <w:szCs w:val="20"/>
        </w:rPr>
      </w:pPr>
      <w:r>
        <w:rPr>
          <w:i/>
          <w:iCs/>
          <w:sz w:val="20"/>
          <w:szCs w:val="20"/>
        </w:rPr>
        <w:t xml:space="preserve">c) Cuando solo se solicite tener como pruebas las documentales aportadas con la demanda y la contestación, y sobre ellas no se hubiese formulado tacha o desconocimiento; </w:t>
      </w:r>
    </w:p>
    <w:p w14:paraId="7FA6A257" w14:textId="77777777" w:rsidR="00B40D64" w:rsidRDefault="00B40D64" w:rsidP="00B40D64">
      <w:pPr>
        <w:pStyle w:val="Default"/>
        <w:rPr>
          <w:sz w:val="20"/>
          <w:szCs w:val="20"/>
        </w:rPr>
      </w:pPr>
      <w:r>
        <w:rPr>
          <w:i/>
          <w:iCs/>
          <w:sz w:val="20"/>
          <w:szCs w:val="20"/>
        </w:rPr>
        <w:t xml:space="preserve">d) Cuando las pruebas solicitadas por las partes sean impertinentes, inconducentes o inútiles. </w:t>
      </w:r>
    </w:p>
    <w:p w14:paraId="702C7983" w14:textId="507332B4" w:rsidR="00B40D64" w:rsidRDefault="00B40D64" w:rsidP="00B40D64">
      <w:pPr>
        <w:pStyle w:val="Default"/>
        <w:rPr>
          <w:i/>
          <w:iCs/>
          <w:sz w:val="20"/>
          <w:szCs w:val="20"/>
        </w:rPr>
      </w:pPr>
      <w:r>
        <w:rPr>
          <w:i/>
          <w:iCs/>
          <w:sz w:val="20"/>
          <w:szCs w:val="20"/>
        </w:rPr>
        <w:t>El juez o magistrado ponente, mediante auto, se pronunciará sobre las pruebas cuando a ello haya lugar, dando aplicación a lo dispuesto en el artículo 173 del Código General del Proceso y fijará el litigio u objeto de</w:t>
      </w:r>
      <w:r>
        <w:rPr>
          <w:i/>
          <w:iCs/>
          <w:sz w:val="20"/>
          <w:szCs w:val="20"/>
        </w:rPr>
        <w:t xml:space="preserve"> </w:t>
      </w:r>
      <w:r>
        <w:rPr>
          <w:i/>
          <w:iCs/>
          <w:sz w:val="20"/>
          <w:szCs w:val="20"/>
        </w:rPr>
        <w:t xml:space="preserve">controversia. Cumplido lo anterior, se correrá traslado para alegar en la forma prevista en el inciso final del artículo 181 de este código y la sentencia se expedirá por escrito”. (…) </w:t>
      </w:r>
    </w:p>
    <w:p w14:paraId="7EAD1107" w14:textId="77777777" w:rsidR="00B40D64" w:rsidRDefault="00B40D64" w:rsidP="00B40D64">
      <w:pPr>
        <w:pStyle w:val="Default"/>
        <w:rPr>
          <w:sz w:val="20"/>
          <w:szCs w:val="20"/>
        </w:rPr>
      </w:pPr>
    </w:p>
    <w:p w14:paraId="753E77FE" w14:textId="77777777" w:rsidR="00B40D64" w:rsidRDefault="00B40D64" w:rsidP="00B40D64">
      <w:pPr>
        <w:pStyle w:val="Default"/>
        <w:rPr>
          <w:sz w:val="23"/>
          <w:szCs w:val="23"/>
        </w:rPr>
      </w:pPr>
      <w:r>
        <w:rPr>
          <w:b/>
          <w:bCs/>
          <w:sz w:val="23"/>
          <w:szCs w:val="23"/>
        </w:rPr>
        <w:t xml:space="preserve">1.2. Decisión sobre las pruebas. </w:t>
      </w:r>
    </w:p>
    <w:p w14:paraId="788E5091" w14:textId="77777777" w:rsidR="00B40D64" w:rsidRDefault="00B40D64" w:rsidP="00B40D64">
      <w:pPr>
        <w:pStyle w:val="Default"/>
        <w:rPr>
          <w:sz w:val="23"/>
          <w:szCs w:val="23"/>
        </w:rPr>
      </w:pPr>
    </w:p>
    <w:p w14:paraId="06B5D047" w14:textId="77777777" w:rsidR="00B40D64" w:rsidRDefault="00B40D64" w:rsidP="00B40D64">
      <w:pPr>
        <w:pStyle w:val="Default"/>
        <w:jc w:val="both"/>
        <w:rPr>
          <w:sz w:val="23"/>
          <w:szCs w:val="23"/>
        </w:rPr>
      </w:pPr>
      <w:r>
        <w:rPr>
          <w:sz w:val="23"/>
          <w:szCs w:val="23"/>
        </w:rPr>
        <w:t xml:space="preserve">El artículo 173 del Código General del Proceso sobre la oportunidad, apreciación y admisión de las pruebas establece: </w:t>
      </w:r>
    </w:p>
    <w:p w14:paraId="6497E4FC" w14:textId="77777777" w:rsidR="00B40D64" w:rsidRDefault="00B40D64" w:rsidP="00B40D64">
      <w:pPr>
        <w:pStyle w:val="Default"/>
        <w:rPr>
          <w:sz w:val="20"/>
          <w:szCs w:val="20"/>
        </w:rPr>
      </w:pPr>
    </w:p>
    <w:p w14:paraId="0803E22D" w14:textId="6E6CF24A" w:rsidR="00B40D64" w:rsidRDefault="00B40D64" w:rsidP="00B40D64">
      <w:pPr>
        <w:pStyle w:val="Default"/>
        <w:jc w:val="both"/>
        <w:rPr>
          <w:sz w:val="20"/>
          <w:szCs w:val="20"/>
        </w:rPr>
      </w:pPr>
      <w:r>
        <w:rPr>
          <w:sz w:val="20"/>
          <w:szCs w:val="20"/>
        </w:rPr>
        <w:t>“</w:t>
      </w:r>
      <w:r>
        <w:rPr>
          <w:i/>
          <w:iCs/>
          <w:sz w:val="20"/>
          <w:szCs w:val="20"/>
        </w:rPr>
        <w:t xml:space="preserve">(…) ARTÍCULO 173. OPORTUNIDADES PROBATORIAS. Para que sean apreciadas por el juez las pruebas deberán solicitarse, practicarse e incorporarse al proceso dentro de los términos y oportunidades señalados para ello en este código. </w:t>
      </w:r>
    </w:p>
    <w:p w14:paraId="18089C89" w14:textId="77777777" w:rsidR="00B40D64" w:rsidRDefault="00B40D64" w:rsidP="00B40D64">
      <w:pPr>
        <w:pStyle w:val="Default"/>
        <w:jc w:val="both"/>
        <w:rPr>
          <w:sz w:val="20"/>
          <w:szCs w:val="20"/>
        </w:rPr>
      </w:pPr>
      <w:r>
        <w:rPr>
          <w:i/>
          <w:iCs/>
          <w:sz w:val="20"/>
          <w:szCs w:val="20"/>
        </w:rPr>
        <w:t xml:space="preserve">En la providencia que resuelva sobre las solicitudes de pruebas formuladas por las partes, el juez deberá pronunciarse expresamente sobre la admisión de los documentos y demás pruebas que estas hayan aportado. El juez se abstendrá de ordenar la práctica de las pruebas que, directamente o por medio de derecho de petición, hubiera podido conseguir la parte que las solicite, salvo cuando la petición no hubiese sido atendida, lo que deberá acreditarse sumariamente. (…)” </w:t>
      </w:r>
    </w:p>
    <w:p w14:paraId="3E3F8826" w14:textId="77777777" w:rsidR="00B40D64" w:rsidRDefault="00B40D64" w:rsidP="00B40D64">
      <w:pPr>
        <w:pStyle w:val="Default"/>
        <w:rPr>
          <w:sz w:val="23"/>
          <w:szCs w:val="23"/>
        </w:rPr>
      </w:pPr>
    </w:p>
    <w:p w14:paraId="1D69F27D" w14:textId="2656F4FF" w:rsidR="00B40D64" w:rsidRDefault="00B40D64" w:rsidP="00B40D64">
      <w:pPr>
        <w:pStyle w:val="Default"/>
        <w:jc w:val="both"/>
        <w:rPr>
          <w:sz w:val="23"/>
          <w:szCs w:val="23"/>
        </w:rPr>
      </w:pPr>
      <w:r>
        <w:rPr>
          <w:sz w:val="23"/>
          <w:szCs w:val="23"/>
        </w:rPr>
        <w:t xml:space="preserve">Revisado el expediente antes de citar a audiencia inicial, se advierte que en este asunto, las pruebas fueron aportadas en la oportunidad procesal correspondiente y son puramente de carácter documental, las cuales por su naturaleza no requieren de práctica alguna, por lo que se ordenará, de conformidad con lo dispuesto en el artículo 182-A del C.P.A.C.A y 173 del C.G.P., admitir e incorporar al proceso las pruebas aportadas por la parte actora obrante a folios 14 a 63; y el cd presentado por la entidad demandada obrante a folio 102 del expediente con el valor legal que les corresponda, al ser estos los elementos de juicio requeridos para emitir un pronunciamiento de fondo y no existir tacha sobre ellos. </w:t>
      </w:r>
    </w:p>
    <w:p w14:paraId="71019048" w14:textId="77777777" w:rsidR="00B40D64" w:rsidRDefault="00B40D64" w:rsidP="00B40D64">
      <w:pPr>
        <w:pStyle w:val="Default"/>
        <w:jc w:val="both"/>
        <w:rPr>
          <w:sz w:val="23"/>
          <w:szCs w:val="23"/>
        </w:rPr>
      </w:pPr>
    </w:p>
    <w:p w14:paraId="4C95898C" w14:textId="77777777" w:rsidR="00B40D64" w:rsidRDefault="00B40D64" w:rsidP="00B40D64">
      <w:pPr>
        <w:pStyle w:val="Default"/>
        <w:jc w:val="both"/>
        <w:rPr>
          <w:sz w:val="23"/>
          <w:szCs w:val="23"/>
        </w:rPr>
      </w:pPr>
      <w:r>
        <w:rPr>
          <w:sz w:val="23"/>
          <w:szCs w:val="23"/>
        </w:rPr>
        <w:t>Ahora, frente a la solicitud probatoria efectuada por la parte actora, el Despacho la negará, dado que el expediente administrativo que contiene los antecedentes administrativos objeto de la presente demanda fue aportado por la entidad demandada al momento de dar contestación a la misma.</w:t>
      </w:r>
    </w:p>
    <w:p w14:paraId="04885A2A" w14:textId="64091C74" w:rsidR="00B40D64" w:rsidRDefault="00B40D64" w:rsidP="00B40D64">
      <w:pPr>
        <w:pStyle w:val="Default"/>
        <w:jc w:val="both"/>
        <w:rPr>
          <w:sz w:val="23"/>
          <w:szCs w:val="23"/>
        </w:rPr>
      </w:pPr>
      <w:r>
        <w:rPr>
          <w:sz w:val="23"/>
          <w:szCs w:val="23"/>
        </w:rPr>
        <w:t xml:space="preserve"> </w:t>
      </w:r>
    </w:p>
    <w:p w14:paraId="7DF7ABEF" w14:textId="1FCA9FEB" w:rsidR="00B40D64" w:rsidRDefault="00B40D64" w:rsidP="00B40D64">
      <w:pPr>
        <w:pStyle w:val="Default"/>
        <w:jc w:val="both"/>
        <w:rPr>
          <w:sz w:val="23"/>
          <w:szCs w:val="23"/>
        </w:rPr>
      </w:pPr>
      <w:r>
        <w:rPr>
          <w:sz w:val="23"/>
          <w:szCs w:val="23"/>
        </w:rPr>
        <w:t xml:space="preserve">En tales condiciones, el despacho considera que dicha situación encuadra en la hipótesis contemplada en literales b y c del numeral 1 del artículo 182A de la Ley 2080 de 2021. </w:t>
      </w:r>
    </w:p>
    <w:p w14:paraId="3B65CEF7" w14:textId="77777777" w:rsidR="00B40D64" w:rsidRDefault="00B40D64" w:rsidP="00B40D64">
      <w:pPr>
        <w:pStyle w:val="Default"/>
        <w:jc w:val="both"/>
        <w:rPr>
          <w:sz w:val="23"/>
          <w:szCs w:val="23"/>
        </w:rPr>
      </w:pPr>
    </w:p>
    <w:p w14:paraId="218BF63F" w14:textId="77777777" w:rsidR="00B40D64" w:rsidRDefault="00B40D64" w:rsidP="00B40D64">
      <w:pPr>
        <w:pStyle w:val="Default"/>
        <w:rPr>
          <w:sz w:val="23"/>
          <w:szCs w:val="23"/>
        </w:rPr>
      </w:pPr>
      <w:r>
        <w:rPr>
          <w:b/>
          <w:bCs/>
          <w:sz w:val="23"/>
          <w:szCs w:val="23"/>
        </w:rPr>
        <w:t xml:space="preserve">1.3. De la fijación del litigio. </w:t>
      </w:r>
    </w:p>
    <w:p w14:paraId="1172A3A2" w14:textId="77777777" w:rsidR="00B40D64" w:rsidRDefault="00B40D64" w:rsidP="00B40D64">
      <w:pPr>
        <w:pStyle w:val="Default"/>
        <w:rPr>
          <w:sz w:val="23"/>
          <w:szCs w:val="23"/>
        </w:rPr>
      </w:pPr>
    </w:p>
    <w:p w14:paraId="75FC4209" w14:textId="617D14ED" w:rsidR="00B40D64" w:rsidRDefault="00B40D64" w:rsidP="00B40D64">
      <w:pPr>
        <w:pStyle w:val="Default"/>
        <w:jc w:val="both"/>
        <w:rPr>
          <w:sz w:val="23"/>
          <w:szCs w:val="23"/>
        </w:rPr>
      </w:pPr>
      <w:r>
        <w:rPr>
          <w:sz w:val="23"/>
          <w:szCs w:val="23"/>
        </w:rPr>
        <w:lastRenderedPageBreak/>
        <w:t>Ahora, una vez analizadas las pretensiones y argumentos expuestos en la demanda, se procede a fijar el litigio en los siguientes términos</w:t>
      </w:r>
      <w:r>
        <w:rPr>
          <w:rStyle w:val="Refdenotaalpie"/>
          <w:sz w:val="23"/>
          <w:szCs w:val="23"/>
        </w:rPr>
        <w:footnoteReference w:id="2"/>
      </w:r>
      <w:r>
        <w:rPr>
          <w:sz w:val="23"/>
          <w:szCs w:val="23"/>
        </w:rPr>
        <w:t xml:space="preserve">: </w:t>
      </w:r>
    </w:p>
    <w:p w14:paraId="697E3858" w14:textId="4BDBF564" w:rsidR="00B40D64" w:rsidRDefault="00B40D64" w:rsidP="00B40D64">
      <w:pPr>
        <w:pStyle w:val="Default"/>
        <w:rPr>
          <w:sz w:val="23"/>
          <w:szCs w:val="23"/>
        </w:rPr>
      </w:pPr>
      <w:r>
        <w:rPr>
          <w:rFonts w:ascii="Times New Roman" w:hAnsi="Times New Roman" w:cs="Times New Roman"/>
          <w:sz w:val="13"/>
          <w:szCs w:val="13"/>
        </w:rPr>
        <w:t xml:space="preserve"> </w:t>
      </w:r>
    </w:p>
    <w:p w14:paraId="2A448985" w14:textId="77777777" w:rsidR="00B40D64" w:rsidRDefault="00B40D64" w:rsidP="00B40D64">
      <w:pPr>
        <w:pStyle w:val="Default"/>
        <w:jc w:val="both"/>
        <w:rPr>
          <w:sz w:val="23"/>
          <w:szCs w:val="23"/>
        </w:rPr>
      </w:pPr>
      <w:r>
        <w:rPr>
          <w:sz w:val="23"/>
          <w:szCs w:val="23"/>
        </w:rPr>
        <w:t xml:space="preserve">El objeto del litigio es determinar: </w:t>
      </w:r>
      <w:r>
        <w:rPr>
          <w:b/>
          <w:bCs/>
          <w:i/>
          <w:iCs/>
          <w:sz w:val="23"/>
          <w:szCs w:val="23"/>
        </w:rPr>
        <w:t xml:space="preserve">¿TIENE DERECHO EL DEMANDANTE A QUE SE LE RELIQUIDE LA PENSION DE VEJEZ QUE LE FUE RECONOCIDA PARA INCLUIRLE FACTORES SALARIALES QUE FUERON DEVENGADOS POR EL EN EL ULTIMO AÑO DE SERVICIOS DE CONFORMIDAD CON LA LEY 33 DE 1985 Y 62 DEL MISMO </w:t>
      </w:r>
      <w:proofErr w:type="gramStart"/>
      <w:r>
        <w:rPr>
          <w:b/>
          <w:bCs/>
          <w:i/>
          <w:iCs/>
          <w:sz w:val="23"/>
          <w:szCs w:val="23"/>
        </w:rPr>
        <w:t>AÑO?.</w:t>
      </w:r>
      <w:proofErr w:type="gramEnd"/>
      <w:r>
        <w:rPr>
          <w:b/>
          <w:bCs/>
          <w:i/>
          <w:iCs/>
          <w:sz w:val="23"/>
          <w:szCs w:val="23"/>
        </w:rPr>
        <w:t xml:space="preserve"> </w:t>
      </w:r>
    </w:p>
    <w:p w14:paraId="225C8F55" w14:textId="5061E421" w:rsidR="00B40D64" w:rsidRDefault="00B40D64" w:rsidP="00B40D64">
      <w:pPr>
        <w:pStyle w:val="Default"/>
        <w:jc w:val="both"/>
        <w:rPr>
          <w:b/>
          <w:bCs/>
          <w:i/>
          <w:iCs/>
          <w:sz w:val="23"/>
          <w:szCs w:val="23"/>
        </w:rPr>
      </w:pPr>
      <w:r>
        <w:rPr>
          <w:b/>
          <w:bCs/>
          <w:i/>
          <w:iCs/>
          <w:sz w:val="23"/>
          <w:szCs w:val="23"/>
        </w:rPr>
        <w:t xml:space="preserve">Y SI, </w:t>
      </w:r>
    </w:p>
    <w:p w14:paraId="5679A7EB" w14:textId="77777777" w:rsidR="00B40D64" w:rsidRDefault="00B40D64" w:rsidP="00B40D64">
      <w:pPr>
        <w:pStyle w:val="Default"/>
        <w:rPr>
          <w:sz w:val="23"/>
          <w:szCs w:val="23"/>
        </w:rPr>
      </w:pPr>
    </w:p>
    <w:p w14:paraId="1B58D0A4" w14:textId="77777777" w:rsidR="00B40D64" w:rsidRDefault="00B40D64" w:rsidP="00B40D64">
      <w:pPr>
        <w:pStyle w:val="Default"/>
        <w:jc w:val="both"/>
        <w:rPr>
          <w:b/>
          <w:bCs/>
          <w:i/>
          <w:iCs/>
          <w:sz w:val="23"/>
          <w:szCs w:val="23"/>
        </w:rPr>
      </w:pPr>
      <w:r>
        <w:rPr>
          <w:b/>
          <w:bCs/>
          <w:i/>
          <w:iCs/>
          <w:sz w:val="23"/>
          <w:szCs w:val="23"/>
        </w:rPr>
        <w:t xml:space="preserve">¿DEBEN ANULARSE LOS ACTOS ADMINISTRATIVOS DEMANDADOS POR INFRINGIR LAS NORMAS EN QUE DEBÍAN FUNDARSE? </w:t>
      </w:r>
    </w:p>
    <w:p w14:paraId="3E90D62B" w14:textId="77777777" w:rsidR="00B40D64" w:rsidRDefault="00B40D64" w:rsidP="00B40D64">
      <w:pPr>
        <w:pStyle w:val="Default"/>
        <w:jc w:val="both"/>
        <w:rPr>
          <w:b/>
          <w:bCs/>
          <w:i/>
          <w:iCs/>
          <w:sz w:val="23"/>
          <w:szCs w:val="23"/>
        </w:rPr>
      </w:pPr>
    </w:p>
    <w:p w14:paraId="3B87E81C" w14:textId="3948F2A1" w:rsidR="00B40D64" w:rsidRDefault="00B40D64" w:rsidP="00B40D64">
      <w:pPr>
        <w:pStyle w:val="Default"/>
        <w:jc w:val="both"/>
        <w:rPr>
          <w:sz w:val="23"/>
          <w:szCs w:val="23"/>
        </w:rPr>
      </w:pPr>
      <w:r>
        <w:rPr>
          <w:sz w:val="23"/>
          <w:szCs w:val="23"/>
        </w:rPr>
        <w:t xml:space="preserve">En virtud a lo anterior, el Despacho prescinde de la práctica de la audiencia inicial para este proceso y en su lugar, conforme lo ordena el artículo 182 A del CPACA, norma adicionada por el artículo 42 de la Ley 2080 de 2021, en concordancia con el numeral 1º del artículo 13 del Decreto 806 de 2020, se procederá a dictar sentencia anticipada previo traslado a las partes para alegar de conclusión, por el término de diez (10) días, término que es común para el Ministerio Público para que emita concepto, si a bien lo tiene. </w:t>
      </w:r>
    </w:p>
    <w:p w14:paraId="02D9A97F" w14:textId="77777777" w:rsidR="00B40D64" w:rsidRDefault="00B40D64" w:rsidP="00B40D64">
      <w:pPr>
        <w:pStyle w:val="Default"/>
        <w:rPr>
          <w:sz w:val="23"/>
          <w:szCs w:val="23"/>
        </w:rPr>
      </w:pPr>
    </w:p>
    <w:p w14:paraId="67E05342" w14:textId="5574F4A1" w:rsidR="00B40D64" w:rsidRDefault="00B40D64" w:rsidP="00B40D64">
      <w:pPr>
        <w:pStyle w:val="Default"/>
        <w:jc w:val="both"/>
        <w:rPr>
          <w:sz w:val="23"/>
          <w:szCs w:val="23"/>
        </w:rPr>
      </w:pPr>
      <w:r>
        <w:rPr>
          <w:sz w:val="23"/>
          <w:szCs w:val="23"/>
        </w:rPr>
        <w:t xml:space="preserve">Para claridad de las partes intervinientes, se dictará sentencia anticipada conforme a lo dispuesto en el artículo 42 de la Ley 2080 de 2021, debido a que se trata de un asunto de puro derecho, no existen pruebas por practicar y en atención a los principios de economía y celeridad procesal que tutelan la actuación judicial. </w:t>
      </w:r>
    </w:p>
    <w:p w14:paraId="303D828A" w14:textId="77777777" w:rsidR="00B40D64" w:rsidRDefault="00B40D64" w:rsidP="00B40D64">
      <w:pPr>
        <w:pStyle w:val="Default"/>
        <w:rPr>
          <w:sz w:val="23"/>
          <w:szCs w:val="23"/>
        </w:rPr>
      </w:pPr>
    </w:p>
    <w:p w14:paraId="23E70A0F" w14:textId="73481AEA" w:rsidR="00B40D64" w:rsidRDefault="00B40D64" w:rsidP="00B40D64">
      <w:pPr>
        <w:pStyle w:val="Default"/>
        <w:rPr>
          <w:sz w:val="23"/>
          <w:szCs w:val="23"/>
        </w:rPr>
      </w:pPr>
      <w:r>
        <w:rPr>
          <w:sz w:val="23"/>
          <w:szCs w:val="23"/>
        </w:rPr>
        <w:t xml:space="preserve">En consecuencia, el Despacho, </w:t>
      </w:r>
    </w:p>
    <w:p w14:paraId="36450F6D" w14:textId="77777777" w:rsidR="00B40D64" w:rsidRDefault="00B40D64" w:rsidP="00B40D64">
      <w:pPr>
        <w:pStyle w:val="Default"/>
        <w:rPr>
          <w:b/>
          <w:bCs/>
          <w:sz w:val="23"/>
          <w:szCs w:val="23"/>
        </w:rPr>
      </w:pPr>
    </w:p>
    <w:p w14:paraId="71799752" w14:textId="0548D97E" w:rsidR="00B40D64" w:rsidRDefault="00B40D64" w:rsidP="00B40D64">
      <w:pPr>
        <w:pStyle w:val="Default"/>
        <w:jc w:val="center"/>
        <w:rPr>
          <w:sz w:val="23"/>
          <w:szCs w:val="23"/>
        </w:rPr>
      </w:pPr>
      <w:r>
        <w:rPr>
          <w:b/>
          <w:bCs/>
          <w:sz w:val="23"/>
          <w:szCs w:val="23"/>
        </w:rPr>
        <w:t>RESUELVE:</w:t>
      </w:r>
    </w:p>
    <w:p w14:paraId="104013EB" w14:textId="77777777" w:rsidR="00B40D64" w:rsidRDefault="00B40D64" w:rsidP="00B40D64">
      <w:pPr>
        <w:pStyle w:val="Default"/>
        <w:rPr>
          <w:b/>
          <w:bCs/>
          <w:sz w:val="23"/>
          <w:szCs w:val="23"/>
        </w:rPr>
      </w:pPr>
    </w:p>
    <w:p w14:paraId="60AF15A1" w14:textId="126D9028" w:rsidR="00B40D64" w:rsidRDefault="00B40D64" w:rsidP="00B40D64">
      <w:pPr>
        <w:pStyle w:val="Default"/>
        <w:jc w:val="both"/>
        <w:rPr>
          <w:sz w:val="23"/>
          <w:szCs w:val="23"/>
        </w:rPr>
      </w:pPr>
      <w:r>
        <w:rPr>
          <w:b/>
          <w:bCs/>
          <w:sz w:val="23"/>
          <w:szCs w:val="23"/>
        </w:rPr>
        <w:t xml:space="preserve">1. TENER </w:t>
      </w:r>
      <w:r>
        <w:rPr>
          <w:sz w:val="23"/>
          <w:szCs w:val="23"/>
        </w:rPr>
        <w:t xml:space="preserve">por presentada en tiempo la contestación de la entidad demandada </w:t>
      </w:r>
      <w:r>
        <w:rPr>
          <w:b/>
          <w:bCs/>
          <w:sz w:val="23"/>
          <w:szCs w:val="23"/>
        </w:rPr>
        <w:t>UNIDAD ADMINISTRATIVA ESPECIAL DE GESTION PENSIONAL Y PARAFISCALES-UGPP-</w:t>
      </w:r>
      <w:r>
        <w:rPr>
          <w:sz w:val="23"/>
          <w:szCs w:val="23"/>
        </w:rPr>
        <w:t xml:space="preserve">, conforme al término previsto en el artículo 172 del CPACA. </w:t>
      </w:r>
    </w:p>
    <w:p w14:paraId="37DDB09C" w14:textId="77777777" w:rsidR="00B40D64" w:rsidRDefault="00B40D64" w:rsidP="00B40D64">
      <w:pPr>
        <w:pStyle w:val="Default"/>
        <w:rPr>
          <w:sz w:val="23"/>
          <w:szCs w:val="23"/>
        </w:rPr>
      </w:pPr>
    </w:p>
    <w:p w14:paraId="4ECD1275" w14:textId="77777777" w:rsidR="00B40D64" w:rsidRDefault="00B40D64" w:rsidP="00B40D64">
      <w:pPr>
        <w:pStyle w:val="Default"/>
        <w:jc w:val="both"/>
        <w:rPr>
          <w:sz w:val="23"/>
          <w:szCs w:val="23"/>
        </w:rPr>
      </w:pPr>
      <w:r>
        <w:rPr>
          <w:b/>
          <w:bCs/>
          <w:sz w:val="23"/>
          <w:szCs w:val="23"/>
        </w:rPr>
        <w:t xml:space="preserve">2. DICTAR </w:t>
      </w:r>
      <w:r>
        <w:rPr>
          <w:sz w:val="23"/>
          <w:szCs w:val="23"/>
        </w:rPr>
        <w:t xml:space="preserve">sentencia anticipada en el presente proceso, al no haber excepciones previas que resolver, ni pruebas por practicar conforme a lo expresado en la parte motiva de esta providencia. </w:t>
      </w:r>
    </w:p>
    <w:p w14:paraId="2C49FEC7" w14:textId="77777777" w:rsidR="00B40D64" w:rsidRDefault="00B40D64" w:rsidP="00B40D64">
      <w:pPr>
        <w:pStyle w:val="Default"/>
        <w:rPr>
          <w:sz w:val="23"/>
          <w:szCs w:val="23"/>
        </w:rPr>
      </w:pPr>
    </w:p>
    <w:p w14:paraId="2DBFDDD4" w14:textId="77777777" w:rsidR="00B40D64" w:rsidRDefault="00B40D64" w:rsidP="00B40D64">
      <w:pPr>
        <w:pStyle w:val="Default"/>
        <w:rPr>
          <w:sz w:val="23"/>
          <w:szCs w:val="23"/>
        </w:rPr>
      </w:pPr>
      <w:r>
        <w:rPr>
          <w:b/>
          <w:bCs/>
          <w:sz w:val="23"/>
          <w:szCs w:val="23"/>
        </w:rPr>
        <w:t xml:space="preserve">3. PRESCINDIR </w:t>
      </w:r>
      <w:r>
        <w:rPr>
          <w:sz w:val="23"/>
          <w:szCs w:val="23"/>
        </w:rPr>
        <w:t xml:space="preserve">de la audiencia inicial con el fin de proceder a emitir fallo por escrito, de conformidad en el artículo 182A de la Ley 2080 de 2021. </w:t>
      </w:r>
    </w:p>
    <w:p w14:paraId="34ADD712" w14:textId="77777777" w:rsidR="00B40D64" w:rsidRDefault="00B40D64" w:rsidP="00B40D64">
      <w:pPr>
        <w:pStyle w:val="Default"/>
        <w:rPr>
          <w:sz w:val="23"/>
          <w:szCs w:val="23"/>
        </w:rPr>
      </w:pPr>
    </w:p>
    <w:p w14:paraId="0C20AB34" w14:textId="77777777" w:rsidR="00B40D64" w:rsidRDefault="00B40D64" w:rsidP="00B40D64">
      <w:pPr>
        <w:pStyle w:val="Default"/>
        <w:jc w:val="both"/>
        <w:rPr>
          <w:sz w:val="23"/>
          <w:szCs w:val="23"/>
        </w:rPr>
      </w:pPr>
      <w:r>
        <w:rPr>
          <w:b/>
          <w:bCs/>
          <w:sz w:val="23"/>
          <w:szCs w:val="23"/>
        </w:rPr>
        <w:lastRenderedPageBreak/>
        <w:t xml:space="preserve">4. ADMITIR </w:t>
      </w:r>
      <w:r>
        <w:rPr>
          <w:sz w:val="23"/>
          <w:szCs w:val="23"/>
        </w:rPr>
        <w:t xml:space="preserve">e incorporar las pruebas allegadas por la parte actora y la entidad demandada, conforme a lo expresado en la parte motiva de esta providencia. </w:t>
      </w:r>
    </w:p>
    <w:p w14:paraId="5C549F50" w14:textId="77777777" w:rsidR="00B40D64" w:rsidRDefault="00B40D64" w:rsidP="00B40D64">
      <w:pPr>
        <w:pStyle w:val="Default"/>
        <w:rPr>
          <w:sz w:val="23"/>
          <w:szCs w:val="23"/>
        </w:rPr>
      </w:pPr>
    </w:p>
    <w:p w14:paraId="3570AD75" w14:textId="77777777" w:rsidR="00B40D64" w:rsidRDefault="00B40D64" w:rsidP="00B40D64">
      <w:pPr>
        <w:pStyle w:val="Default"/>
        <w:jc w:val="both"/>
        <w:rPr>
          <w:sz w:val="23"/>
          <w:szCs w:val="23"/>
        </w:rPr>
      </w:pPr>
      <w:r>
        <w:rPr>
          <w:b/>
          <w:bCs/>
          <w:sz w:val="23"/>
          <w:szCs w:val="23"/>
        </w:rPr>
        <w:t xml:space="preserve">5. ABSTENERSE </w:t>
      </w:r>
      <w:r>
        <w:rPr>
          <w:sz w:val="23"/>
          <w:szCs w:val="23"/>
        </w:rPr>
        <w:t xml:space="preserve">de citar a audiencia de pruebas, por las razones plasmadas en esta decisión. </w:t>
      </w:r>
    </w:p>
    <w:p w14:paraId="3EBB42D6" w14:textId="77777777" w:rsidR="00B40D64" w:rsidRDefault="00B40D64" w:rsidP="00B40D64">
      <w:pPr>
        <w:pStyle w:val="Default"/>
        <w:jc w:val="both"/>
        <w:rPr>
          <w:sz w:val="23"/>
          <w:szCs w:val="23"/>
        </w:rPr>
      </w:pPr>
    </w:p>
    <w:p w14:paraId="30FFE3B6" w14:textId="77777777" w:rsidR="00B40D64" w:rsidRDefault="00B40D64" w:rsidP="00B40D64">
      <w:pPr>
        <w:pStyle w:val="Default"/>
        <w:jc w:val="both"/>
        <w:rPr>
          <w:sz w:val="23"/>
          <w:szCs w:val="23"/>
        </w:rPr>
      </w:pPr>
      <w:r>
        <w:rPr>
          <w:b/>
          <w:bCs/>
          <w:sz w:val="23"/>
          <w:szCs w:val="23"/>
        </w:rPr>
        <w:t xml:space="preserve">6. FIJAR </w:t>
      </w:r>
      <w:r>
        <w:rPr>
          <w:sz w:val="23"/>
          <w:szCs w:val="23"/>
        </w:rPr>
        <w:t xml:space="preserve">el litigio en los términos que quedaron reseñados en las consideraciones del presente auto. </w:t>
      </w:r>
    </w:p>
    <w:p w14:paraId="63CF7A08" w14:textId="77777777" w:rsidR="00B40D64" w:rsidRDefault="00B40D64" w:rsidP="00B40D64">
      <w:pPr>
        <w:pStyle w:val="Default"/>
        <w:jc w:val="both"/>
        <w:rPr>
          <w:sz w:val="23"/>
          <w:szCs w:val="23"/>
        </w:rPr>
      </w:pPr>
    </w:p>
    <w:p w14:paraId="29897899" w14:textId="77777777" w:rsidR="00B40D64" w:rsidRDefault="00B40D64" w:rsidP="00B40D64">
      <w:pPr>
        <w:pStyle w:val="Default"/>
        <w:jc w:val="both"/>
        <w:rPr>
          <w:sz w:val="23"/>
          <w:szCs w:val="23"/>
        </w:rPr>
      </w:pPr>
      <w:r>
        <w:rPr>
          <w:b/>
          <w:bCs/>
          <w:sz w:val="23"/>
          <w:szCs w:val="23"/>
        </w:rPr>
        <w:t xml:space="preserve">7. CORRER TRASLADO </w:t>
      </w:r>
      <w:r>
        <w:rPr>
          <w:sz w:val="23"/>
          <w:szCs w:val="23"/>
        </w:rPr>
        <w:t xml:space="preserve">a las partes y al Agente del Ministerio Público por el término común de </w:t>
      </w:r>
      <w:r>
        <w:rPr>
          <w:b/>
          <w:bCs/>
          <w:sz w:val="23"/>
          <w:szCs w:val="23"/>
        </w:rPr>
        <w:t>diez (10) días</w:t>
      </w:r>
      <w:r>
        <w:rPr>
          <w:sz w:val="23"/>
          <w:szCs w:val="23"/>
        </w:rPr>
        <w:t xml:space="preserve">, de conformidad con lo establecido en el inciso final del artículo 181 del Código de Procedimiento Administrativo y de lo Contencioso Administrativo (C.P.A.C.A.), para que presenten por escrito </w:t>
      </w:r>
      <w:r>
        <w:rPr>
          <w:b/>
          <w:bCs/>
          <w:sz w:val="23"/>
          <w:szCs w:val="23"/>
        </w:rPr>
        <w:t xml:space="preserve">ALEGATOS DE CONCLUSIÓN. </w:t>
      </w:r>
    </w:p>
    <w:p w14:paraId="19E44A72" w14:textId="77777777" w:rsidR="00B40D64" w:rsidRDefault="00B40D64" w:rsidP="00B40D64">
      <w:pPr>
        <w:pStyle w:val="Default"/>
        <w:jc w:val="both"/>
        <w:rPr>
          <w:sz w:val="23"/>
          <w:szCs w:val="23"/>
        </w:rPr>
      </w:pPr>
    </w:p>
    <w:p w14:paraId="6608A81E" w14:textId="32FE39F9" w:rsidR="00B40D64" w:rsidRPr="00B40D64" w:rsidRDefault="00B40D64" w:rsidP="00B40D64">
      <w:pPr>
        <w:pStyle w:val="Default"/>
        <w:jc w:val="both"/>
        <w:rPr>
          <w:b/>
          <w:bCs/>
          <w:sz w:val="23"/>
          <w:szCs w:val="23"/>
        </w:rPr>
      </w:pPr>
      <w:r>
        <w:rPr>
          <w:b/>
          <w:bCs/>
          <w:sz w:val="23"/>
          <w:szCs w:val="23"/>
        </w:rPr>
        <w:t xml:space="preserve">8. RECONOCER </w:t>
      </w:r>
      <w:r>
        <w:rPr>
          <w:sz w:val="23"/>
          <w:szCs w:val="23"/>
        </w:rPr>
        <w:t xml:space="preserve">personería para al abogado </w:t>
      </w:r>
      <w:r>
        <w:rPr>
          <w:b/>
          <w:bCs/>
          <w:sz w:val="23"/>
          <w:szCs w:val="23"/>
        </w:rPr>
        <w:t>ABNER RUBEN</w:t>
      </w:r>
      <w:r>
        <w:rPr>
          <w:b/>
          <w:bCs/>
          <w:sz w:val="23"/>
          <w:szCs w:val="23"/>
        </w:rPr>
        <w:t xml:space="preserve"> </w:t>
      </w:r>
      <w:r>
        <w:rPr>
          <w:b/>
          <w:bCs/>
          <w:sz w:val="23"/>
          <w:szCs w:val="23"/>
        </w:rPr>
        <w:t xml:space="preserve">CALDERON MANCHOLA, </w:t>
      </w:r>
      <w:r>
        <w:rPr>
          <w:sz w:val="23"/>
          <w:szCs w:val="23"/>
        </w:rPr>
        <w:t xml:space="preserve">identificado con C.C.7.705.407 y con T.P No.131.608 del CSJ, para que actúe como apoderado de la </w:t>
      </w:r>
      <w:r>
        <w:rPr>
          <w:b/>
          <w:bCs/>
          <w:sz w:val="23"/>
          <w:szCs w:val="23"/>
        </w:rPr>
        <w:t>UNIDAD ADMINISTRATIVA ESPECIAL DE GESTION PENSIONAL Y PARAFISCALES-UGPP-</w:t>
      </w:r>
      <w:r>
        <w:rPr>
          <w:sz w:val="23"/>
          <w:szCs w:val="23"/>
        </w:rPr>
        <w:t xml:space="preserve">, según las facultades otorgadas con el poder. </w:t>
      </w:r>
    </w:p>
    <w:p w14:paraId="75266348" w14:textId="77777777" w:rsidR="00B40D64" w:rsidRDefault="00B40D64" w:rsidP="00B40D64">
      <w:pPr>
        <w:pStyle w:val="Default"/>
        <w:rPr>
          <w:sz w:val="23"/>
          <w:szCs w:val="23"/>
        </w:rPr>
      </w:pPr>
    </w:p>
    <w:p w14:paraId="5CBBBFEF" w14:textId="5E02E1C4" w:rsidR="00B40D64" w:rsidRDefault="00B40D64" w:rsidP="00B40D64">
      <w:pPr>
        <w:pStyle w:val="Default"/>
        <w:rPr>
          <w:sz w:val="23"/>
          <w:szCs w:val="23"/>
        </w:rPr>
      </w:pPr>
      <w:r>
        <w:rPr>
          <w:sz w:val="13"/>
          <w:szCs w:val="13"/>
        </w:rPr>
        <w:t xml:space="preserve"> </w:t>
      </w:r>
    </w:p>
    <w:p w14:paraId="29BF1A8D" w14:textId="2F9C1404" w:rsidR="00B40D64" w:rsidRDefault="00B40D64" w:rsidP="00B40D64">
      <w:pPr>
        <w:pStyle w:val="Default"/>
        <w:jc w:val="center"/>
        <w:rPr>
          <w:sz w:val="23"/>
          <w:szCs w:val="23"/>
        </w:rPr>
      </w:pPr>
      <w:r>
        <w:rPr>
          <w:b/>
          <w:bCs/>
          <w:sz w:val="23"/>
          <w:szCs w:val="23"/>
        </w:rPr>
        <w:t>NOTÍFIQUESE Y CÚMPLASE</w:t>
      </w:r>
    </w:p>
    <w:p w14:paraId="236A6E30" w14:textId="11B8A1F1" w:rsidR="00B40D64" w:rsidRDefault="00B40D64" w:rsidP="00B40D64">
      <w:pPr>
        <w:pStyle w:val="Default"/>
        <w:jc w:val="center"/>
        <w:rPr>
          <w:sz w:val="23"/>
          <w:szCs w:val="23"/>
        </w:rPr>
      </w:pPr>
      <w:r>
        <w:rPr>
          <w:b/>
          <w:bCs/>
          <w:sz w:val="23"/>
          <w:szCs w:val="23"/>
        </w:rPr>
        <w:t>CARLOS DANIEL CUENCA VALENZUELA</w:t>
      </w:r>
    </w:p>
    <w:p w14:paraId="4511EE8B" w14:textId="73294EC6" w:rsidR="00B40D64" w:rsidRDefault="00B40D64" w:rsidP="00B40D64">
      <w:pPr>
        <w:pStyle w:val="Default"/>
        <w:jc w:val="center"/>
        <w:rPr>
          <w:sz w:val="23"/>
          <w:szCs w:val="23"/>
        </w:rPr>
      </w:pPr>
      <w:r>
        <w:rPr>
          <w:b/>
          <w:bCs/>
          <w:sz w:val="23"/>
          <w:szCs w:val="23"/>
        </w:rPr>
        <w:t>JUEZ</w:t>
      </w:r>
    </w:p>
    <w:p w14:paraId="341CB10B" w14:textId="77777777" w:rsidR="002F7D1D" w:rsidRPr="001F2D25" w:rsidRDefault="002F7D1D">
      <w:pPr>
        <w:rPr>
          <w:rFonts w:ascii="Arial" w:hAnsi="Arial" w:cs="Arial"/>
        </w:rPr>
      </w:pPr>
    </w:p>
    <w:sectPr w:rsidR="002F7D1D" w:rsidRPr="001F2D25" w:rsidSect="00B737D7">
      <w:footerReference w:type="default" r:id="rId10"/>
      <w:footerReference w:type="first" r:id="rId11"/>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CA56FD" w14:textId="77777777" w:rsidR="00C93F3E" w:rsidRDefault="00C93F3E">
      <w:pPr>
        <w:spacing w:after="0" w:line="240" w:lineRule="auto"/>
      </w:pPr>
      <w:r>
        <w:separator/>
      </w:r>
    </w:p>
  </w:endnote>
  <w:endnote w:type="continuationSeparator" w:id="0">
    <w:p w14:paraId="3A242632" w14:textId="77777777" w:rsidR="00C93F3E" w:rsidRDefault="00C93F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566093"/>
      <w:docPartObj>
        <w:docPartGallery w:val="Page Numbers (Bottom of Page)"/>
        <w:docPartUnique/>
      </w:docPartObj>
    </w:sdtPr>
    <w:sdtEndPr/>
    <w:sdtContent>
      <w:p w14:paraId="586E939E"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3</w:t>
        </w:r>
        <w:r>
          <w:fldChar w:fldCharType="end"/>
        </w:r>
      </w:p>
    </w:sdtContent>
  </w:sdt>
  <w:p w14:paraId="2521E8EB" w14:textId="77777777" w:rsidR="00224C42" w:rsidRDefault="00C93F3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958699"/>
      <w:docPartObj>
        <w:docPartGallery w:val="Page Numbers (Bottom of Page)"/>
        <w:docPartUnique/>
      </w:docPartObj>
    </w:sdtPr>
    <w:sdtEndPr/>
    <w:sdtContent>
      <w:p w14:paraId="65574588"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1</w:t>
        </w:r>
        <w:r>
          <w:fldChar w:fldCharType="end"/>
        </w:r>
      </w:p>
    </w:sdtContent>
  </w:sdt>
  <w:p w14:paraId="60134C65" w14:textId="77777777" w:rsidR="00224C42" w:rsidRDefault="00C93F3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8C222" w14:textId="77777777" w:rsidR="00C93F3E" w:rsidRDefault="00C93F3E">
      <w:pPr>
        <w:spacing w:after="0" w:line="240" w:lineRule="auto"/>
      </w:pPr>
      <w:r>
        <w:separator/>
      </w:r>
    </w:p>
  </w:footnote>
  <w:footnote w:type="continuationSeparator" w:id="0">
    <w:p w14:paraId="6A6DB445" w14:textId="77777777" w:rsidR="00C93F3E" w:rsidRDefault="00C93F3E">
      <w:pPr>
        <w:spacing w:after="0" w:line="240" w:lineRule="auto"/>
      </w:pPr>
      <w:r>
        <w:continuationSeparator/>
      </w:r>
    </w:p>
  </w:footnote>
  <w:footnote w:id="1">
    <w:p w14:paraId="4B33D01C" w14:textId="268D9A2A" w:rsidR="00B40D64" w:rsidRPr="00B40D64" w:rsidRDefault="00B40D64">
      <w:pPr>
        <w:pStyle w:val="Textonotapie"/>
        <w:rPr>
          <w:lang w:val="es-CO"/>
        </w:rPr>
      </w:pPr>
      <w:r>
        <w:rPr>
          <w:rStyle w:val="Refdenotaalpie"/>
        </w:rPr>
        <w:footnoteRef/>
      </w:r>
      <w:r>
        <w:t xml:space="preserve"> </w:t>
      </w:r>
      <w:r>
        <w:rPr>
          <w:sz w:val="16"/>
          <w:szCs w:val="16"/>
        </w:rPr>
        <w:t>“Por medio de la cual se reforma el Código de Procedimiento Administrativo y de lo Contencioso Administrativo -Ley 1437 de 2011- y se dictan otras disposiciones en materia de descongestión en los procesos que se tramitan ante la jurisdicción.</w:t>
      </w:r>
    </w:p>
  </w:footnote>
  <w:footnote w:id="2">
    <w:p w14:paraId="238F19C4" w14:textId="77777777" w:rsidR="00B40D64" w:rsidRPr="00B40D64" w:rsidRDefault="00B40D64" w:rsidP="00B40D64">
      <w:pPr>
        <w:pStyle w:val="Default"/>
        <w:jc w:val="both"/>
        <w:rPr>
          <w:sz w:val="16"/>
          <w:szCs w:val="16"/>
        </w:rPr>
      </w:pPr>
      <w:r w:rsidRPr="00B40D64">
        <w:rPr>
          <w:rStyle w:val="Refdenotaalpie"/>
          <w:sz w:val="16"/>
          <w:szCs w:val="16"/>
        </w:rPr>
        <w:footnoteRef/>
      </w:r>
      <w:r w:rsidRPr="00B40D64">
        <w:rPr>
          <w:sz w:val="16"/>
          <w:szCs w:val="16"/>
        </w:rPr>
        <w:t xml:space="preserve"> </w:t>
      </w:r>
      <w:r w:rsidRPr="00B40D64">
        <w:rPr>
          <w:sz w:val="16"/>
          <w:szCs w:val="16"/>
        </w:rPr>
        <w:t xml:space="preserve">De conformidad con él en el inciso primero del numeral primero del artículo 42 que adicionó el 182A de la Le 1437 de 2011. </w:t>
      </w:r>
    </w:p>
    <w:p w14:paraId="1698A277" w14:textId="43DC408E" w:rsidR="00B40D64" w:rsidRPr="00B40D64" w:rsidRDefault="00B40D64">
      <w:pPr>
        <w:pStyle w:val="Textonotapie"/>
        <w:rPr>
          <w:lang w:val="es-CO"/>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5F7BBC"/>
    <w:multiLevelType w:val="hybridMultilevel"/>
    <w:tmpl w:val="AE3CE5E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5"/>
  </w:num>
  <w:num w:numId="3">
    <w:abstractNumId w:val="7"/>
  </w:num>
  <w:num w:numId="4">
    <w:abstractNumId w:val="2"/>
  </w:num>
  <w:num w:numId="5">
    <w:abstractNumId w:val="9"/>
  </w:num>
  <w:num w:numId="6">
    <w:abstractNumId w:val="10"/>
  </w:num>
  <w:num w:numId="7">
    <w:abstractNumId w:val="5"/>
  </w:num>
  <w:num w:numId="8">
    <w:abstractNumId w:val="13"/>
  </w:num>
  <w:num w:numId="9">
    <w:abstractNumId w:val="14"/>
  </w:num>
  <w:num w:numId="10">
    <w:abstractNumId w:val="4"/>
  </w:num>
  <w:num w:numId="11">
    <w:abstractNumId w:val="1"/>
  </w:num>
  <w:num w:numId="12">
    <w:abstractNumId w:val="16"/>
  </w:num>
  <w:num w:numId="13">
    <w:abstractNumId w:val="6"/>
  </w:num>
  <w:num w:numId="14">
    <w:abstractNumId w:val="11"/>
  </w:num>
  <w:num w:numId="15">
    <w:abstractNumId w:val="8"/>
  </w:num>
  <w:num w:numId="16">
    <w:abstractNumId w:val="12"/>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ECD"/>
    <w:rsid w:val="000D6A0D"/>
    <w:rsid w:val="000F105D"/>
    <w:rsid w:val="00127C6E"/>
    <w:rsid w:val="00195C31"/>
    <w:rsid w:val="001C54E3"/>
    <w:rsid w:val="001F2D25"/>
    <w:rsid w:val="00222B39"/>
    <w:rsid w:val="00222D4A"/>
    <w:rsid w:val="0023682D"/>
    <w:rsid w:val="00245C3E"/>
    <w:rsid w:val="002971BC"/>
    <w:rsid w:val="002E526E"/>
    <w:rsid w:val="002F6A16"/>
    <w:rsid w:val="002F7D1D"/>
    <w:rsid w:val="00306339"/>
    <w:rsid w:val="00341FFF"/>
    <w:rsid w:val="0039283B"/>
    <w:rsid w:val="003A0FA3"/>
    <w:rsid w:val="003B379B"/>
    <w:rsid w:val="00407892"/>
    <w:rsid w:val="004430DA"/>
    <w:rsid w:val="00462075"/>
    <w:rsid w:val="004C270A"/>
    <w:rsid w:val="00501CFE"/>
    <w:rsid w:val="00532C33"/>
    <w:rsid w:val="00565605"/>
    <w:rsid w:val="00591BD3"/>
    <w:rsid w:val="005B3ECD"/>
    <w:rsid w:val="005C690E"/>
    <w:rsid w:val="005D343D"/>
    <w:rsid w:val="006E320B"/>
    <w:rsid w:val="00764314"/>
    <w:rsid w:val="007D59E3"/>
    <w:rsid w:val="00823B31"/>
    <w:rsid w:val="00834E15"/>
    <w:rsid w:val="00857522"/>
    <w:rsid w:val="00926ADA"/>
    <w:rsid w:val="00965363"/>
    <w:rsid w:val="0096597C"/>
    <w:rsid w:val="009E3199"/>
    <w:rsid w:val="00A461DF"/>
    <w:rsid w:val="00A62E46"/>
    <w:rsid w:val="00B40D64"/>
    <w:rsid w:val="00B47DA4"/>
    <w:rsid w:val="00B713D2"/>
    <w:rsid w:val="00C43096"/>
    <w:rsid w:val="00C53F95"/>
    <w:rsid w:val="00C5649B"/>
    <w:rsid w:val="00C93F3E"/>
    <w:rsid w:val="00CC64F1"/>
    <w:rsid w:val="00CF03D9"/>
    <w:rsid w:val="00D111DA"/>
    <w:rsid w:val="00D747D0"/>
    <w:rsid w:val="00D75A67"/>
    <w:rsid w:val="00DB38E3"/>
    <w:rsid w:val="00DC796E"/>
    <w:rsid w:val="00DE6DCB"/>
    <w:rsid w:val="00E031FD"/>
    <w:rsid w:val="00E03626"/>
    <w:rsid w:val="00E377AA"/>
    <w:rsid w:val="00E42B7C"/>
    <w:rsid w:val="00E61BDD"/>
    <w:rsid w:val="00E93701"/>
    <w:rsid w:val="00EB3514"/>
    <w:rsid w:val="00ED4ECD"/>
    <w:rsid w:val="00EE219B"/>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 w:type="paragraph" w:customStyle="1" w:styleId="Default">
    <w:name w:val="Default"/>
    <w:rsid w:val="0039283B"/>
    <w:pPr>
      <w:autoSpaceDE w:val="0"/>
      <w:autoSpaceDN w:val="0"/>
      <w:adjustRightInd w:val="0"/>
      <w:spacing w:after="0" w:line="240" w:lineRule="auto"/>
    </w:pPr>
    <w:rPr>
      <w:rFonts w:ascii="Arial" w:hAnsi="Arial" w:cs="Arial"/>
      <w:color w:val="000000"/>
      <w:sz w:val="24"/>
      <w:szCs w:val="24"/>
      <w:lang w:val="es-CO"/>
    </w:rPr>
  </w:style>
  <w:style w:type="character" w:styleId="Refdenotaalpie">
    <w:name w:val="footnote reference"/>
    <w:basedOn w:val="Fuentedeprrafopredeter"/>
    <w:uiPriority w:val="99"/>
    <w:semiHidden/>
    <w:unhideWhenUsed/>
    <w:rsid w:val="00B40D6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F53160-5B66-49F0-AC10-8F94014AB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2103</Words>
  <Characters>11568</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Lina Ximena Tapia Rubiano</cp:lastModifiedBy>
  <cp:revision>2</cp:revision>
  <dcterms:created xsi:type="dcterms:W3CDTF">2021-09-06T03:04:00Z</dcterms:created>
  <dcterms:modified xsi:type="dcterms:W3CDTF">2021-09-06T03:04:00Z</dcterms:modified>
</cp:coreProperties>
</file>