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072171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421511">
        <w:rPr>
          <w:rFonts w:ascii="Arial" w:eastAsia="Calibri" w:hAnsi="Arial" w:cs="Arial"/>
          <w:lang w:val="es-MX"/>
        </w:rPr>
        <w:t xml:space="preserve"> </w:t>
      </w:r>
      <w:r w:rsidR="008F1390">
        <w:rPr>
          <w:rFonts w:ascii="Arial" w:eastAsia="Calibri" w:hAnsi="Arial" w:cs="Arial"/>
          <w:lang w:val="es-MX"/>
        </w:rPr>
        <w:t>LINA MARIA RODRIGUEZ ORJUELA</w:t>
      </w:r>
    </w:p>
    <w:p w14:paraId="5F7DBDD4" w14:textId="260BAE11" w:rsidR="00ED4ECD" w:rsidRPr="001F2D25" w:rsidRDefault="00421511" w:rsidP="00B713D2">
      <w:pPr>
        <w:pStyle w:val="Sinespaciado"/>
        <w:ind w:left="-1134"/>
        <w:rPr>
          <w:rFonts w:ascii="Arial" w:hAnsi="Arial" w:cs="Arial"/>
          <w:lang w:val="es-MX"/>
        </w:rPr>
      </w:pPr>
      <w:r>
        <w:rPr>
          <w:rFonts w:ascii="Arial" w:hAnsi="Arial" w:cs="Arial"/>
          <w:lang w:val="es-MX"/>
        </w:rPr>
        <w:t xml:space="preserve">Fecha: </w:t>
      </w:r>
      <w:r w:rsidR="008F1390">
        <w:rPr>
          <w:rFonts w:ascii="Arial" w:hAnsi="Arial" w:cs="Arial"/>
          <w:lang w:val="es-MX"/>
        </w:rPr>
        <w:t>6</w:t>
      </w:r>
      <w:r>
        <w:rPr>
          <w:rFonts w:ascii="Arial" w:hAnsi="Arial" w:cs="Arial"/>
          <w:lang w:val="es-MX"/>
        </w:rPr>
        <w:t>/0</w:t>
      </w:r>
      <w:r w:rsidR="008F1390">
        <w:rPr>
          <w:rFonts w:ascii="Arial" w:hAnsi="Arial" w:cs="Arial"/>
          <w:lang w:val="es-MX"/>
        </w:rPr>
        <w:t>9</w:t>
      </w:r>
      <w:r>
        <w:rPr>
          <w:rFonts w:ascii="Arial" w:hAnsi="Arial" w:cs="Arial"/>
          <w:lang w:val="es-MX"/>
        </w:rPr>
        <w:t>/2021</w:t>
      </w:r>
    </w:p>
    <w:p w14:paraId="75E84AC6" w14:textId="705564C4"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421511">
        <w:rPr>
          <w:rFonts w:ascii="Arial" w:hAnsi="Arial" w:cs="Arial"/>
          <w:lang w:val="es-MX"/>
        </w:rPr>
        <w:t>NULIDAD Y RESTABLECIMIENTO DEL DERECHO</w:t>
      </w:r>
    </w:p>
    <w:p w14:paraId="6B89892F" w14:textId="2DAED7D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421511">
        <w:rPr>
          <w:rFonts w:ascii="Arial" w:hAnsi="Arial" w:cs="Arial"/>
          <w:lang w:val="es-MX"/>
        </w:rPr>
        <w:t xml:space="preserve"> </w:t>
      </w:r>
      <w:r w:rsidR="008F1390">
        <w:rPr>
          <w:rFonts w:ascii="Arial" w:hAnsi="Arial" w:cs="Arial"/>
          <w:lang w:val="es-MX"/>
        </w:rPr>
        <w:t>DANIEL</w:t>
      </w:r>
      <w:r w:rsidR="00421511">
        <w:rPr>
          <w:rFonts w:ascii="Arial" w:hAnsi="Arial" w:cs="Arial"/>
          <w:lang w:val="es-MX"/>
        </w:rPr>
        <w:t xml:space="preserve"> </w:t>
      </w:r>
      <w:r w:rsidR="005103B2">
        <w:rPr>
          <w:rFonts w:ascii="Arial" w:hAnsi="Arial" w:cs="Arial"/>
          <w:lang w:val="es-MX"/>
        </w:rPr>
        <w:t>MAURICIO ROJAS FALLA</w:t>
      </w:r>
    </w:p>
    <w:p w14:paraId="1660C8A3" w14:textId="4B68B53D" w:rsidR="00B713D2" w:rsidRPr="001F2D25" w:rsidRDefault="00B713D2" w:rsidP="005103B2">
      <w:pPr>
        <w:pStyle w:val="Sinespaciado"/>
        <w:ind w:left="-1134"/>
        <w:jc w:val="both"/>
        <w:rPr>
          <w:rFonts w:ascii="Arial" w:hAnsi="Arial" w:cs="Arial"/>
          <w:lang w:val="es-MX"/>
        </w:rPr>
      </w:pPr>
      <w:r w:rsidRPr="001F2D25">
        <w:rPr>
          <w:rFonts w:ascii="Arial" w:hAnsi="Arial" w:cs="Arial"/>
          <w:lang w:val="es-MX"/>
        </w:rPr>
        <w:t>Demandado:</w:t>
      </w:r>
      <w:r w:rsidR="00421511">
        <w:rPr>
          <w:rFonts w:ascii="Arial" w:hAnsi="Arial" w:cs="Arial"/>
          <w:lang w:val="es-MX"/>
        </w:rPr>
        <w:t xml:space="preserve"> </w:t>
      </w:r>
      <w:r w:rsidR="005103B2">
        <w:rPr>
          <w:rFonts w:ascii="Arial" w:hAnsi="Arial" w:cs="Arial"/>
          <w:lang w:val="es-MX"/>
        </w:rPr>
        <w:t>NACION MINISTERIO DE EDUCACION FONDO PRESTACIONES SOCIALES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30C85F09"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ECB70DD">
                      <wp:simplePos x="0" y="0"/>
                      <wp:positionH relativeFrom="column">
                        <wp:posOffset>1608455</wp:posOffset>
                      </wp:positionH>
                      <wp:positionV relativeFrom="paragraph">
                        <wp:posOffset>324484</wp:posOffset>
                      </wp:positionV>
                      <wp:extent cx="250441" cy="23812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C7F5E8" w14:textId="0795A6BE" w:rsidR="00421511" w:rsidRPr="00421511" w:rsidRDefault="00421511" w:rsidP="00421511">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6.65pt;margin-top:25.55pt;width:19.7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" fillcolor="white [3201]" strokecolor="#70ad47 [3209]" strokeweight="1pt">
                      <v:textbox>
                        <w:txbxContent>
                          <w:p w14:paraId="54C7F5E8" w14:textId="0795A6BE" w:rsidR="00421511" w:rsidRPr="00421511" w:rsidRDefault="00421511" w:rsidP="00421511">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0474A6" w:rsidRDefault="00D75A67" w:rsidP="000474A6">
            <w:pPr>
              <w:pStyle w:val="Sinespaciado"/>
              <w:jc w:val="both"/>
              <w:rPr>
                <w:rFonts w:ascii="Arial" w:eastAsia="Calibri" w:hAnsi="Arial" w:cs="Arial"/>
                <w:b/>
                <w:lang w:val="es-MX"/>
              </w:rPr>
            </w:pPr>
          </w:p>
          <w:p w14:paraId="39BB3A01" w14:textId="77777777" w:rsidR="00CA4D42" w:rsidRDefault="00CA4D42" w:rsidP="000474A6">
            <w:pPr>
              <w:autoSpaceDE w:val="0"/>
              <w:autoSpaceDN w:val="0"/>
              <w:adjustRightInd w:val="0"/>
              <w:spacing w:after="0" w:line="240" w:lineRule="auto"/>
              <w:jc w:val="both"/>
              <w:rPr>
                <w:rFonts w:ascii="Arial" w:eastAsiaTheme="minorHAnsi" w:hAnsi="Arial" w:cs="Arial"/>
                <w:b/>
                <w:color w:val="000000"/>
                <w:lang w:eastAsia="en-US"/>
              </w:rPr>
            </w:pPr>
          </w:p>
          <w:p w14:paraId="0D1F478C" w14:textId="2DCF045E" w:rsidR="000474A6" w:rsidRDefault="00CA4D42" w:rsidP="000474A6">
            <w:pPr>
              <w:autoSpaceDE w:val="0"/>
              <w:autoSpaceDN w:val="0"/>
              <w:adjustRightInd w:val="0"/>
              <w:spacing w:after="0" w:line="240" w:lineRule="auto"/>
              <w:jc w:val="both"/>
              <w:rPr>
                <w:rFonts w:ascii="Lucida Bright" w:hAnsi="Lucida Bright"/>
                <w:lang w:val="es-ES_tradnl" w:eastAsia="x-none" w:bidi="he-IL"/>
              </w:rPr>
            </w:pPr>
            <w:r>
              <w:rPr>
                <w:rFonts w:ascii="Lucida Bright" w:hAnsi="Lucida Bright"/>
                <w:b/>
                <w:color w:val="000000"/>
                <w:lang w:eastAsia="x-none" w:bidi="he-IL"/>
              </w:rPr>
              <w:t xml:space="preserve">1. </w:t>
            </w:r>
            <w:r w:rsidR="008955EE" w:rsidRPr="004C1AB0">
              <w:rPr>
                <w:rFonts w:ascii="Lucida Bright" w:hAnsi="Lucida Bright"/>
                <w:b/>
                <w:lang w:val="es-ES_tradnl" w:eastAsia="x-none" w:bidi="he-IL"/>
              </w:rPr>
              <w:t xml:space="preserve">INCORPORESE </w:t>
            </w:r>
            <w:r w:rsidR="008955EE" w:rsidRPr="004C1AB0">
              <w:rPr>
                <w:rFonts w:ascii="Lucida Bright" w:hAnsi="Lucida Bright"/>
                <w:lang w:val="es-ES_tradnl" w:eastAsia="x-none" w:bidi="he-IL"/>
              </w:rPr>
              <w:t xml:space="preserve">al expediente con el valor legal que le corresponda los documentos aportados con </w:t>
            </w:r>
            <w:r w:rsidR="008955EE">
              <w:rPr>
                <w:rFonts w:ascii="Lucida Bright" w:hAnsi="Lucida Bright"/>
                <w:lang w:val="es-ES_tradnl" w:eastAsia="x-none" w:bidi="he-IL"/>
              </w:rPr>
              <w:t>e</w:t>
            </w:r>
            <w:r w:rsidR="008955EE" w:rsidRPr="004C1AB0">
              <w:rPr>
                <w:rFonts w:ascii="Lucida Bright" w:hAnsi="Lucida Bright"/>
                <w:lang w:val="es-ES_tradnl" w:eastAsia="x-none" w:bidi="he-IL"/>
              </w:rPr>
              <w:t xml:space="preserve">l escrito de la demanda y </w:t>
            </w:r>
            <w:r w:rsidR="008955EE">
              <w:rPr>
                <w:rFonts w:ascii="Lucida Bright" w:hAnsi="Lucida Bright"/>
                <w:lang w:val="es-ES_tradnl" w:eastAsia="x-none" w:bidi="he-IL"/>
              </w:rPr>
              <w:t>su contestación</w:t>
            </w:r>
            <w:r w:rsidR="008955EE" w:rsidRPr="004C1AB0">
              <w:rPr>
                <w:rFonts w:ascii="Lucida Bright" w:hAnsi="Lucida Bright"/>
                <w:lang w:val="es-ES_tradnl" w:eastAsia="x-none" w:bidi="he-IL"/>
              </w:rPr>
              <w:t>, a las cuales se les dará el valor legal correspondiente</w:t>
            </w:r>
          </w:p>
          <w:p w14:paraId="79E75FF0" w14:textId="77777777" w:rsidR="00CA4D42" w:rsidRPr="000474A6" w:rsidRDefault="00CA4D42" w:rsidP="000474A6">
            <w:pPr>
              <w:autoSpaceDE w:val="0"/>
              <w:autoSpaceDN w:val="0"/>
              <w:adjustRightInd w:val="0"/>
              <w:spacing w:after="0" w:line="240" w:lineRule="auto"/>
              <w:jc w:val="both"/>
              <w:rPr>
                <w:rFonts w:ascii="Times New Roman" w:eastAsiaTheme="minorHAnsi" w:hAnsi="Times New Roman" w:cs="Times New Roman"/>
                <w:b/>
                <w:lang w:eastAsia="en-US"/>
              </w:rPr>
            </w:pPr>
          </w:p>
          <w:p w14:paraId="040889E6" w14:textId="77777777" w:rsidR="000474A6" w:rsidRPr="000474A6" w:rsidRDefault="000474A6" w:rsidP="000474A6">
            <w:pPr>
              <w:autoSpaceDE w:val="0"/>
              <w:autoSpaceDN w:val="0"/>
              <w:adjustRightInd w:val="0"/>
              <w:spacing w:after="0" w:line="240" w:lineRule="auto"/>
              <w:jc w:val="both"/>
              <w:rPr>
                <w:rFonts w:ascii="Arial" w:eastAsiaTheme="minorHAnsi" w:hAnsi="Arial" w:cs="Arial"/>
                <w:b/>
                <w:color w:val="000000"/>
                <w:lang w:eastAsia="en-US"/>
              </w:rPr>
            </w:pPr>
            <w:r w:rsidRPr="000474A6">
              <w:rPr>
                <w:rFonts w:ascii="Arial" w:eastAsiaTheme="minorHAnsi" w:hAnsi="Arial" w:cs="Arial"/>
                <w:b/>
                <w:color w:val="000000"/>
                <w:lang w:eastAsia="en-US"/>
              </w:rPr>
              <w:t xml:space="preserve">2. </w:t>
            </w:r>
            <w:r w:rsidRPr="000474A6">
              <w:rPr>
                <w:rFonts w:ascii="Arial" w:eastAsiaTheme="minorHAnsi" w:hAnsi="Arial" w:cs="Arial"/>
                <w:b/>
                <w:bCs/>
                <w:color w:val="000000"/>
                <w:lang w:eastAsia="en-US"/>
              </w:rPr>
              <w:t xml:space="preserve">Fijar el litigio, </w:t>
            </w:r>
            <w:r w:rsidRPr="000474A6">
              <w:rPr>
                <w:rFonts w:ascii="Arial" w:eastAsiaTheme="minorHAnsi" w:hAnsi="Arial" w:cs="Arial"/>
                <w:b/>
                <w:color w:val="000000"/>
                <w:lang w:eastAsia="en-US"/>
              </w:rPr>
              <w:t>de la siguiente manera:</w:t>
            </w:r>
          </w:p>
          <w:p w14:paraId="569EED55" w14:textId="77777777" w:rsidR="000474A6" w:rsidRPr="000474A6" w:rsidRDefault="000474A6" w:rsidP="000474A6">
            <w:pPr>
              <w:autoSpaceDE w:val="0"/>
              <w:autoSpaceDN w:val="0"/>
              <w:adjustRightInd w:val="0"/>
              <w:spacing w:after="0" w:line="240" w:lineRule="auto"/>
              <w:jc w:val="both"/>
              <w:rPr>
                <w:rFonts w:ascii="Arial" w:eastAsiaTheme="minorHAnsi" w:hAnsi="Arial" w:cs="Arial"/>
                <w:b/>
                <w:color w:val="000000"/>
                <w:lang w:eastAsia="en-US"/>
              </w:rPr>
            </w:pPr>
          </w:p>
          <w:p w14:paraId="75A5ABB7" w14:textId="1C5E1794" w:rsidR="00CA4D42" w:rsidRPr="004C1AB0" w:rsidRDefault="00CA4D42" w:rsidP="00CA4D42">
            <w:pPr>
              <w:jc w:val="both"/>
              <w:rPr>
                <w:rFonts w:ascii="Lucida Bright" w:eastAsia="Arial" w:hAnsi="Lucida Bright" w:cs="Arial"/>
                <w:bCs/>
              </w:rPr>
            </w:pPr>
            <w:r w:rsidRPr="004C1AB0">
              <w:rPr>
                <w:rFonts w:ascii="Lucida Bright" w:hAnsi="Lucida Bright" w:cs="Arial"/>
                <w:b/>
              </w:rPr>
              <w:t>FÍJESE</w:t>
            </w:r>
            <w:r w:rsidRPr="004C1AB0">
              <w:rPr>
                <w:rFonts w:ascii="Lucida Bright" w:hAnsi="Lucida Bright" w:cs="Arial"/>
              </w:rPr>
              <w:t xml:space="preserve"> como problema jurídico en el caso bajo estudio, el cual </w:t>
            </w:r>
            <w:r w:rsidRPr="00616E35">
              <w:rPr>
                <w:rFonts w:ascii="Lucida Bright" w:eastAsia="Arial" w:hAnsi="Lucida Bright" w:cs="Arial"/>
                <w:bCs/>
              </w:rPr>
              <w:t>se contrae</w:t>
            </w:r>
            <w:r w:rsidRPr="004C1AB0">
              <w:rPr>
                <w:rFonts w:ascii="Lucida Bright" w:eastAsia="Arial" w:hAnsi="Lucida Bright" w:cs="Arial"/>
                <w:bCs/>
              </w:rPr>
              <w:t xml:space="preserve"> a establecer</w:t>
            </w:r>
            <w:r w:rsidRPr="00616E35">
              <w:rPr>
                <w:rFonts w:ascii="Lucida Bright" w:hAnsi="Lucida Bright"/>
                <w:b/>
                <w:u w:val="single"/>
              </w:rPr>
              <w:t xml:space="preserve">, si los actos administrativos expedidos por la </w:t>
            </w:r>
            <w:r>
              <w:rPr>
                <w:rFonts w:ascii="Lucida Bright" w:hAnsi="Lucida Bright"/>
                <w:b/>
                <w:u w:val="single"/>
              </w:rPr>
              <w:t>NACIÓN – MINISTERIO DE EDUCACIÓN – FONDO NACIONAL DE PRESTACIONES SOCIALES DEL MAGISTERIO</w:t>
            </w:r>
            <w:r w:rsidRPr="00616E35">
              <w:rPr>
                <w:rFonts w:ascii="Lucida Bright" w:hAnsi="Lucida Bright"/>
                <w:b/>
                <w:u w:val="single"/>
              </w:rPr>
              <w:t xml:space="preserve">, mediante los cuales </w:t>
            </w:r>
            <w:r>
              <w:rPr>
                <w:rFonts w:ascii="Lucida Bright" w:hAnsi="Lucida Bright"/>
                <w:b/>
                <w:u w:val="single"/>
              </w:rPr>
              <w:t xml:space="preserve">ordenó la devolución de mayores valores recibidos de mesadas pensionales de la </w:t>
            </w:r>
            <w:r w:rsidR="00F865B5">
              <w:rPr>
                <w:rFonts w:ascii="Lucida Bright" w:hAnsi="Lucida Bright"/>
                <w:b/>
                <w:u w:val="single"/>
              </w:rPr>
              <w:t>parte demandante</w:t>
            </w:r>
            <w:r w:rsidRPr="00616E35">
              <w:rPr>
                <w:rFonts w:ascii="Lucida Bright" w:hAnsi="Lucida Bright"/>
                <w:b/>
                <w:u w:val="single"/>
              </w:rPr>
              <w:t xml:space="preserve">, fueron expedidos de conformidad con </w:t>
            </w:r>
            <w:r w:rsidRPr="00616E35">
              <w:rPr>
                <w:rFonts w:ascii="Lucida Bright" w:hAnsi="Lucida Bright"/>
                <w:b/>
                <w:u w:val="single"/>
                <w:lang w:eastAsia="en-US"/>
              </w:rPr>
              <w:t>los requisitos legales y jurisprudenciales, o si por el contrario, como lo alega la parte demandante, están viciados de nulidad</w:t>
            </w:r>
            <w:r w:rsidRPr="004C1AB0">
              <w:rPr>
                <w:rFonts w:ascii="Lucida Bright" w:eastAsia="Arial" w:hAnsi="Lucida Bright" w:cs="Arial"/>
                <w:bCs/>
              </w:rPr>
              <w:t xml:space="preserve">, </w:t>
            </w:r>
            <w:r w:rsidRPr="004C1AB0">
              <w:rPr>
                <w:rFonts w:ascii="Lucida Bright" w:hAnsi="Lucida Bright" w:cs="Arial"/>
              </w:rPr>
              <w:t>de conformidad con lo esgrimido en la parte motiva de esta providencia.</w:t>
            </w:r>
          </w:p>
          <w:p w14:paraId="513B51CA" w14:textId="77777777" w:rsidR="000474A6" w:rsidRPr="001F2D25" w:rsidRDefault="000474A6"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329B0D64" w14:textId="1BD362EF" w:rsidR="007F56D0" w:rsidRDefault="00F865B5" w:rsidP="00EF4AAE">
            <w:pPr>
              <w:autoSpaceDE w:val="0"/>
              <w:autoSpaceDN w:val="0"/>
              <w:adjustRightInd w:val="0"/>
              <w:spacing w:after="0" w:line="240" w:lineRule="auto"/>
              <w:jc w:val="both"/>
              <w:rPr>
                <w:rFonts w:ascii="Arial" w:eastAsiaTheme="minorHAnsi" w:hAnsi="Arial" w:cs="Arial"/>
                <w:b/>
                <w:color w:val="000000"/>
                <w:lang w:eastAsia="en-US"/>
              </w:rPr>
            </w:pPr>
            <w:r>
              <w:rPr>
                <w:rFonts w:ascii="Lucida Bright" w:hAnsi="Lucida Bright"/>
              </w:rPr>
              <w:t xml:space="preserve">Dando aplicación al </w:t>
            </w:r>
            <w:r w:rsidRPr="004C1AB0">
              <w:rPr>
                <w:rFonts w:ascii="Lucida Bright" w:hAnsi="Lucida Bright"/>
              </w:rPr>
              <w:t xml:space="preserve">artículo 182 A del CPACA, el cual fue adicionado por el artículo 42 de la Ley </w:t>
            </w:r>
            <w:r>
              <w:rPr>
                <w:rFonts w:ascii="Lucida Bright" w:hAnsi="Lucida Bright"/>
              </w:rPr>
              <w:t>2080 de 2021</w:t>
            </w:r>
            <w:r w:rsidRPr="004C1AB0">
              <w:rPr>
                <w:rFonts w:ascii="Lucida Bright" w:hAnsi="Lucida Bright" w:cs="Arial"/>
              </w:rPr>
              <w:t xml:space="preserve">, se </w:t>
            </w:r>
            <w:r w:rsidRPr="004C1AB0">
              <w:rPr>
                <w:rFonts w:ascii="Lucida Bright" w:hAnsi="Lucida Bright" w:cs="Arial"/>
                <w:b/>
              </w:rPr>
              <w:t>ORDENA</w:t>
            </w:r>
            <w:r w:rsidRPr="004C1AB0">
              <w:rPr>
                <w:rFonts w:ascii="Lucida Bright" w:hAnsi="Lucida Bright" w:cs="Arial"/>
              </w:rPr>
              <w:t xml:space="preserve"> </w:t>
            </w:r>
            <w:r w:rsidRPr="004C1AB0">
              <w:rPr>
                <w:rFonts w:ascii="Lucida Bright" w:hAnsi="Lucida Bright" w:cs="Calibri"/>
              </w:rPr>
              <w:t xml:space="preserve">la presentación de los alegatos de conclusión por escrito dentro del término de los diez (10) días siguientes a esta diligencia, advirtiendo que una vez vencido dicho término se procederá a proferir por escrito la sentencia anticipada, de conformidad en lo esgrimido en la parte motiva de esta providencia. </w:t>
            </w:r>
          </w:p>
          <w:p w14:paraId="2DCD1C6D" w14:textId="77777777" w:rsidR="00EF4AAE" w:rsidRPr="00774D28" w:rsidRDefault="00EF4AAE" w:rsidP="00EF4AAE">
            <w:pPr>
              <w:autoSpaceDE w:val="0"/>
              <w:autoSpaceDN w:val="0"/>
              <w:adjustRightInd w:val="0"/>
              <w:spacing w:after="0" w:line="240" w:lineRule="auto"/>
              <w:jc w:val="both"/>
              <w:rPr>
                <w:rFonts w:ascii="Arial" w:eastAsiaTheme="minorHAnsi" w:hAnsi="Arial" w:cs="Arial"/>
                <w:b/>
                <w:color w:val="000000"/>
                <w:lang w:eastAsia="en-US"/>
              </w:rPr>
            </w:pPr>
          </w:p>
          <w:p w14:paraId="764D9A0A" w14:textId="0996D18A" w:rsidR="00F865B5" w:rsidRDefault="00F865B5" w:rsidP="00A461DF">
            <w:pPr>
              <w:pStyle w:val="Sinespaciado"/>
              <w:jc w:val="both"/>
              <w:rPr>
                <w:rFonts w:ascii="Lucida Bright" w:hAnsi="Lucida Bright" w:cs="Arial"/>
              </w:rPr>
            </w:pPr>
            <w:r w:rsidRPr="004C1AB0">
              <w:rPr>
                <w:rFonts w:ascii="Lucida Bright" w:hAnsi="Lucida Bright" w:cs="Arial"/>
                <w:b/>
              </w:rPr>
              <w:t xml:space="preserve">DECLARAR </w:t>
            </w:r>
            <w:r w:rsidRPr="004C1AB0">
              <w:rPr>
                <w:rFonts w:ascii="Lucida Bright" w:hAnsi="Lucida Bright" w:cs="Arial"/>
              </w:rPr>
              <w:t xml:space="preserve">que el presente asunto será objeto de sentencia anticipada en cumplimiento a lo dispuesto en el numeral primero del </w:t>
            </w:r>
            <w:r w:rsidRPr="004C1AB0">
              <w:rPr>
                <w:rFonts w:ascii="Lucida Bright" w:hAnsi="Lucida Bright"/>
              </w:rPr>
              <w:t xml:space="preserve">artículo 182 A del CPACA, el cual fue adicionado por el artículo 42 de la Ley </w:t>
            </w:r>
            <w:r>
              <w:rPr>
                <w:rFonts w:ascii="Lucida Bright" w:hAnsi="Lucida Bright"/>
              </w:rPr>
              <w:t>2080 de 2021</w:t>
            </w:r>
            <w:r>
              <w:rPr>
                <w:rFonts w:ascii="Lucida Bright" w:hAnsi="Lucida Bright" w:cs="Arial"/>
              </w:rPr>
              <w:t>,</w:t>
            </w:r>
            <w:r w:rsidRPr="004C1AB0">
              <w:rPr>
                <w:rFonts w:ascii="Lucida Bright" w:hAnsi="Lucida Bright" w:cs="Arial"/>
              </w:rPr>
              <w:t xml:space="preserve"> de conformidad con lo expuesto en la parte motiva de esta providencia. </w:t>
            </w:r>
          </w:p>
          <w:p w14:paraId="79F144A4" w14:textId="77777777" w:rsidR="00D50262" w:rsidRDefault="00D50262" w:rsidP="00A461DF">
            <w:pPr>
              <w:pStyle w:val="Sinespaciado"/>
              <w:jc w:val="both"/>
              <w:rPr>
                <w:rFonts w:ascii="Lucida Bright" w:hAnsi="Lucida Bright" w:cs="Arial"/>
              </w:rPr>
            </w:pPr>
          </w:p>
          <w:p w14:paraId="1AA2998E" w14:textId="05C51F4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w:t>
            </w:r>
            <w:r w:rsidRPr="001F2D25">
              <w:rPr>
                <w:rFonts w:ascii="Arial" w:eastAsia="Calibri" w:hAnsi="Arial" w:cs="Arial"/>
                <w:i/>
                <w:sz w:val="18"/>
                <w:szCs w:val="18"/>
                <w:lang w:val="es-MX"/>
              </w:rPr>
              <w:lastRenderedPageBreak/>
              <w:t>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92D7" w14:textId="77777777" w:rsidR="00CD6DE0" w:rsidRDefault="00CD6DE0">
      <w:pPr>
        <w:spacing w:after="0" w:line="240" w:lineRule="auto"/>
      </w:pPr>
      <w:r>
        <w:separator/>
      </w:r>
    </w:p>
  </w:endnote>
  <w:endnote w:type="continuationSeparator" w:id="0">
    <w:p w14:paraId="5D0DFC7E" w14:textId="77777777" w:rsidR="00CD6DE0" w:rsidRDefault="00CD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Lucida Bright">
    <w:panose1 w:val="020406020505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DB32D8" w:rsidRPr="00DB32D8">
          <w:rPr>
            <w:noProof/>
            <w:lang w:val="es-ES"/>
          </w:rPr>
          <w:t>4</w:t>
        </w:r>
        <w:r>
          <w:fldChar w:fldCharType="end"/>
        </w:r>
      </w:p>
    </w:sdtContent>
  </w:sdt>
  <w:p w14:paraId="2521E8EB" w14:textId="77777777" w:rsidR="00224C42" w:rsidRDefault="00CD6D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DB32D8" w:rsidRPr="00DB32D8">
          <w:rPr>
            <w:noProof/>
            <w:lang w:val="es-ES"/>
          </w:rPr>
          <w:t>1</w:t>
        </w:r>
        <w:r>
          <w:fldChar w:fldCharType="end"/>
        </w:r>
      </w:p>
    </w:sdtContent>
  </w:sdt>
  <w:p w14:paraId="60134C65" w14:textId="77777777" w:rsidR="00224C42" w:rsidRDefault="00CD6D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4B14A" w14:textId="77777777" w:rsidR="00CD6DE0" w:rsidRDefault="00CD6DE0">
      <w:pPr>
        <w:spacing w:after="0" w:line="240" w:lineRule="auto"/>
      </w:pPr>
      <w:r>
        <w:separator/>
      </w:r>
    </w:p>
  </w:footnote>
  <w:footnote w:type="continuationSeparator" w:id="0">
    <w:p w14:paraId="3514EC0D" w14:textId="77777777" w:rsidR="00CD6DE0" w:rsidRDefault="00CD6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474A6"/>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D17EA"/>
    <w:rsid w:val="00407892"/>
    <w:rsid w:val="00421511"/>
    <w:rsid w:val="004430DA"/>
    <w:rsid w:val="00462075"/>
    <w:rsid w:val="004C270A"/>
    <w:rsid w:val="005103B2"/>
    <w:rsid w:val="00532C33"/>
    <w:rsid w:val="00533B24"/>
    <w:rsid w:val="00565605"/>
    <w:rsid w:val="00591BD3"/>
    <w:rsid w:val="005B3ECD"/>
    <w:rsid w:val="005C690E"/>
    <w:rsid w:val="005D343D"/>
    <w:rsid w:val="006334DF"/>
    <w:rsid w:val="006E320B"/>
    <w:rsid w:val="00764314"/>
    <w:rsid w:val="00774D28"/>
    <w:rsid w:val="007D59E3"/>
    <w:rsid w:val="007F56D0"/>
    <w:rsid w:val="00823B31"/>
    <w:rsid w:val="00857522"/>
    <w:rsid w:val="008955EE"/>
    <w:rsid w:val="008F1390"/>
    <w:rsid w:val="00926ADA"/>
    <w:rsid w:val="00965363"/>
    <w:rsid w:val="0096597C"/>
    <w:rsid w:val="009E3199"/>
    <w:rsid w:val="00A461DF"/>
    <w:rsid w:val="00A62E46"/>
    <w:rsid w:val="00B47DA4"/>
    <w:rsid w:val="00B713D2"/>
    <w:rsid w:val="00C43096"/>
    <w:rsid w:val="00C53F95"/>
    <w:rsid w:val="00C5649B"/>
    <w:rsid w:val="00C8514F"/>
    <w:rsid w:val="00CA4D42"/>
    <w:rsid w:val="00CC64F1"/>
    <w:rsid w:val="00CD6DE0"/>
    <w:rsid w:val="00CF03D9"/>
    <w:rsid w:val="00D111DA"/>
    <w:rsid w:val="00D50262"/>
    <w:rsid w:val="00D747D0"/>
    <w:rsid w:val="00D75A67"/>
    <w:rsid w:val="00DB32D8"/>
    <w:rsid w:val="00DB38E3"/>
    <w:rsid w:val="00DC796E"/>
    <w:rsid w:val="00DE6DCB"/>
    <w:rsid w:val="00E031FD"/>
    <w:rsid w:val="00E03626"/>
    <w:rsid w:val="00E377AA"/>
    <w:rsid w:val="00E42B7C"/>
    <w:rsid w:val="00E61BDD"/>
    <w:rsid w:val="00E93701"/>
    <w:rsid w:val="00EB3514"/>
    <w:rsid w:val="00ED4ECD"/>
    <w:rsid w:val="00EE219B"/>
    <w:rsid w:val="00EF4AAE"/>
    <w:rsid w:val="00F57547"/>
    <w:rsid w:val="00F865B5"/>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18D0D-2123-412E-BBEE-FD69D0E9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1153</Words>
  <Characters>6342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LINA</cp:lastModifiedBy>
  <cp:revision>2</cp:revision>
  <dcterms:created xsi:type="dcterms:W3CDTF">2021-09-07T03:21:00Z</dcterms:created>
  <dcterms:modified xsi:type="dcterms:W3CDTF">2021-09-07T03:21:00Z</dcterms:modified>
</cp:coreProperties>
</file>