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6B179E" w:rsidRDefault="00ED4ECD" w:rsidP="00696B6A">
      <w:pPr>
        <w:pStyle w:val="Sinespaciado"/>
        <w:jc w:val="both"/>
        <w:rPr>
          <w:rFonts w:ascii="Verdana" w:eastAsia="Calibri" w:hAnsi="Verdana" w:cs="Arial"/>
          <w:b/>
          <w:lang w:val="es-MX"/>
        </w:rPr>
      </w:pPr>
      <w:r w:rsidRPr="006B179E">
        <w:rPr>
          <w:rFonts w:ascii="Verdana" w:hAnsi="Verdana"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6B179E" w:rsidRDefault="00ED4ECD" w:rsidP="00696B6A">
      <w:pPr>
        <w:pStyle w:val="Sinespaciado"/>
        <w:jc w:val="center"/>
        <w:rPr>
          <w:rFonts w:ascii="Verdana" w:eastAsia="Times New Roman" w:hAnsi="Verdana" w:cs="Arial"/>
          <w:b/>
          <w:lang w:val="es-MX"/>
        </w:rPr>
      </w:pPr>
      <w:r w:rsidRPr="006B179E">
        <w:rPr>
          <w:rFonts w:ascii="Verdana" w:eastAsia="Times New Roman" w:hAnsi="Verdana" w:cs="Arial"/>
          <w:b/>
          <w:lang w:val="es-MX"/>
        </w:rPr>
        <w:t>ESCUELA JUDICIAL RODRIGO LARA BONILLA</w:t>
      </w:r>
    </w:p>
    <w:p w14:paraId="2779D564" w14:textId="4EE094EA" w:rsidR="00ED4ECD" w:rsidRPr="006B179E" w:rsidRDefault="00ED4ECD" w:rsidP="00696B6A">
      <w:pPr>
        <w:pStyle w:val="Sinespaciado"/>
        <w:jc w:val="center"/>
        <w:rPr>
          <w:rFonts w:ascii="Verdana" w:hAnsi="Verdana" w:cs="Arial"/>
          <w:b/>
          <w:lang w:val="es-MX"/>
        </w:rPr>
      </w:pPr>
      <w:r w:rsidRPr="006B179E">
        <w:rPr>
          <w:rFonts w:ascii="Verdana" w:eastAsia="Calibri" w:hAnsi="Verdana" w:cs="Arial"/>
          <w:b/>
          <w:lang w:val="es-MX"/>
        </w:rPr>
        <w:t xml:space="preserve">LISTA DE CHEQUEO – </w:t>
      </w:r>
      <w:r w:rsidR="002971BC" w:rsidRPr="006B179E">
        <w:rPr>
          <w:rFonts w:ascii="Verdana" w:eastAsia="Calibri" w:hAnsi="Verdana" w:cs="Arial"/>
          <w:b/>
          <w:lang w:val="es-MX"/>
        </w:rPr>
        <w:t>ADOPCIÓN DE MEDIDAS PARA DICTAR SENTENCIA ANTICIPADA</w:t>
      </w:r>
    </w:p>
    <w:p w14:paraId="07FC148E" w14:textId="77777777" w:rsidR="00B713D2" w:rsidRPr="006B179E" w:rsidRDefault="00B713D2" w:rsidP="00696B6A">
      <w:pPr>
        <w:pStyle w:val="Sinespaciado"/>
        <w:jc w:val="center"/>
        <w:rPr>
          <w:rFonts w:ascii="Verdana" w:hAnsi="Verdana" w:cs="Arial"/>
          <w:lang w:val="es-MX"/>
        </w:rPr>
      </w:pPr>
    </w:p>
    <w:p w14:paraId="6CAD3A0A" w14:textId="77777777" w:rsidR="00B713D2" w:rsidRPr="006B179E" w:rsidRDefault="002971BC" w:rsidP="00696B6A">
      <w:pPr>
        <w:pStyle w:val="Sinespaciado"/>
        <w:pBdr>
          <w:top w:val="dashSmallGap" w:sz="4" w:space="1" w:color="auto"/>
          <w:left w:val="dashSmallGap" w:sz="4" w:space="4" w:color="auto"/>
          <w:bottom w:val="dashSmallGap" w:sz="4" w:space="1" w:color="auto"/>
          <w:right w:val="dashSmallGap" w:sz="4" w:space="4" w:color="auto"/>
        </w:pBdr>
        <w:jc w:val="both"/>
        <w:rPr>
          <w:rFonts w:ascii="Verdana" w:hAnsi="Verdana" w:cs="Arial"/>
          <w:b/>
          <w:lang w:val="es-MX"/>
        </w:rPr>
      </w:pPr>
      <w:r w:rsidRPr="006B179E">
        <w:rPr>
          <w:rFonts w:ascii="Verdana" w:hAnsi="Verdana" w:cs="Arial"/>
          <w:b/>
          <w:lang w:val="es-MX"/>
        </w:rPr>
        <w:t>DISPOSICI</w:t>
      </w:r>
      <w:r w:rsidR="00E031FD" w:rsidRPr="006B179E">
        <w:rPr>
          <w:rFonts w:ascii="Verdana" w:hAnsi="Verdana" w:cs="Arial"/>
          <w:b/>
          <w:lang w:val="es-MX"/>
        </w:rPr>
        <w:t>ONES</w:t>
      </w:r>
      <w:r w:rsidR="00B713D2" w:rsidRPr="006B179E">
        <w:rPr>
          <w:rFonts w:ascii="Verdana" w:hAnsi="Verdana" w:cs="Arial"/>
          <w:b/>
          <w:lang w:val="es-MX"/>
        </w:rPr>
        <w:t xml:space="preserve"> A APLICAR </w:t>
      </w:r>
    </w:p>
    <w:p w14:paraId="4C988326" w14:textId="77777777" w:rsidR="00B713D2" w:rsidRPr="006B179E" w:rsidRDefault="00B713D2" w:rsidP="00696B6A">
      <w:pPr>
        <w:pStyle w:val="Sinespaciado"/>
        <w:pBdr>
          <w:top w:val="dashSmallGap" w:sz="4" w:space="1" w:color="auto"/>
          <w:left w:val="dashSmallGap" w:sz="4" w:space="4" w:color="auto"/>
          <w:bottom w:val="dashSmallGap" w:sz="4" w:space="1" w:color="auto"/>
          <w:right w:val="dashSmallGap" w:sz="4" w:space="4" w:color="auto"/>
        </w:pBdr>
        <w:jc w:val="both"/>
        <w:rPr>
          <w:rFonts w:ascii="Verdana" w:hAnsi="Verdana" w:cs="Arial"/>
          <w:lang w:val="es-MX"/>
        </w:rPr>
      </w:pPr>
    </w:p>
    <w:p w14:paraId="11EC29D7" w14:textId="2E157190" w:rsidR="00E031FD" w:rsidRPr="006B179E" w:rsidRDefault="00E031FD" w:rsidP="00696B6A">
      <w:pPr>
        <w:pStyle w:val="Sinespaciado"/>
        <w:pBdr>
          <w:top w:val="dashSmallGap" w:sz="4" w:space="1" w:color="auto"/>
          <w:left w:val="dashSmallGap" w:sz="4" w:space="4" w:color="auto"/>
          <w:bottom w:val="dashSmallGap" w:sz="4" w:space="1" w:color="auto"/>
          <w:right w:val="dashSmallGap" w:sz="4" w:space="4" w:color="auto"/>
        </w:pBdr>
        <w:jc w:val="both"/>
        <w:rPr>
          <w:rFonts w:ascii="Verdana" w:hAnsi="Verdana" w:cs="Arial"/>
          <w:lang w:val="es-MX"/>
        </w:rPr>
      </w:pPr>
      <w:r w:rsidRPr="006B179E">
        <w:rPr>
          <w:rFonts w:ascii="Verdana" w:hAnsi="Verdana" w:cs="Arial"/>
          <w:lang w:val="es-MX"/>
        </w:rPr>
        <w:t xml:space="preserve">Artículo 38 </w:t>
      </w:r>
      <w:r w:rsidR="006B179E" w:rsidRPr="006B179E">
        <w:rPr>
          <w:rFonts w:ascii="Verdana" w:hAnsi="Verdana" w:cs="Arial"/>
          <w:lang w:val="es-MX"/>
        </w:rPr>
        <w:t xml:space="preserve">de la Ley </w:t>
      </w:r>
      <w:r w:rsidR="00857522" w:rsidRPr="006B179E">
        <w:rPr>
          <w:rFonts w:ascii="Verdana" w:hAnsi="Verdana" w:cs="Arial"/>
          <w:lang w:val="es-MX"/>
        </w:rPr>
        <w:t>2080 de 2021 (</w:t>
      </w:r>
      <w:r w:rsidR="006B179E" w:rsidRPr="006B179E">
        <w:rPr>
          <w:rFonts w:ascii="Verdana" w:hAnsi="Verdana" w:cs="Arial"/>
          <w:lang w:val="es-MX"/>
        </w:rPr>
        <w:t>p</w:t>
      </w:r>
      <w:r w:rsidR="007D59E3" w:rsidRPr="006B179E">
        <w:rPr>
          <w:rFonts w:ascii="Verdana" w:hAnsi="Verdana" w:cs="Arial"/>
          <w:lang w:val="es-MX"/>
        </w:rPr>
        <w:t>arágrafo 2° del artículo 175 del CPACA)</w:t>
      </w:r>
    </w:p>
    <w:p w14:paraId="2C0DD933" w14:textId="1092E6D8" w:rsidR="00B713D2" w:rsidRPr="006B179E" w:rsidRDefault="00B713D2" w:rsidP="00696B6A">
      <w:pPr>
        <w:pStyle w:val="Sinespaciado"/>
        <w:pBdr>
          <w:top w:val="dashSmallGap" w:sz="4" w:space="1" w:color="auto"/>
          <w:left w:val="dashSmallGap" w:sz="4" w:space="4" w:color="auto"/>
          <w:bottom w:val="dashSmallGap" w:sz="4" w:space="1" w:color="auto"/>
          <w:right w:val="dashSmallGap" w:sz="4" w:space="4" w:color="auto"/>
        </w:pBdr>
        <w:jc w:val="both"/>
        <w:rPr>
          <w:rFonts w:ascii="Verdana" w:hAnsi="Verdana" w:cs="Arial"/>
          <w:lang w:val="es-MX"/>
        </w:rPr>
      </w:pPr>
      <w:r w:rsidRPr="006B179E">
        <w:rPr>
          <w:rFonts w:ascii="Verdana" w:hAnsi="Verdana" w:cs="Arial"/>
          <w:lang w:val="es-MX"/>
        </w:rPr>
        <w:t>Artículo 42</w:t>
      </w:r>
      <w:r w:rsidR="006B179E" w:rsidRPr="006B179E">
        <w:rPr>
          <w:rFonts w:ascii="Verdana" w:hAnsi="Verdana" w:cs="Arial"/>
          <w:lang w:val="es-MX"/>
        </w:rPr>
        <w:t xml:space="preserve"> de la Ley </w:t>
      </w:r>
      <w:r w:rsidRPr="006B179E">
        <w:rPr>
          <w:rFonts w:ascii="Verdana" w:hAnsi="Verdana" w:cs="Arial"/>
          <w:lang w:val="es-MX"/>
        </w:rPr>
        <w:t>2080 de 2021 (</w:t>
      </w:r>
      <w:r w:rsidR="007D59E3" w:rsidRPr="006B179E">
        <w:rPr>
          <w:rFonts w:ascii="Verdana" w:hAnsi="Verdana" w:cs="Arial"/>
          <w:lang w:val="es-MX"/>
        </w:rPr>
        <w:t>adiciona</w:t>
      </w:r>
      <w:r w:rsidR="006B179E" w:rsidRPr="006B179E">
        <w:rPr>
          <w:rFonts w:ascii="Verdana" w:hAnsi="Verdana" w:cs="Arial"/>
          <w:lang w:val="es-MX"/>
        </w:rPr>
        <w:t>da por el artículo</w:t>
      </w:r>
      <w:r w:rsidRPr="006B179E">
        <w:rPr>
          <w:rFonts w:ascii="Verdana" w:hAnsi="Verdana" w:cs="Arial"/>
          <w:lang w:val="es-MX"/>
        </w:rPr>
        <w:t xml:space="preserve"> 182A </w:t>
      </w:r>
      <w:r w:rsidR="006B179E" w:rsidRPr="006B179E">
        <w:rPr>
          <w:rFonts w:ascii="Verdana" w:hAnsi="Verdana" w:cs="Arial"/>
          <w:lang w:val="es-MX"/>
        </w:rPr>
        <w:t>del</w:t>
      </w:r>
      <w:r w:rsidRPr="006B179E">
        <w:rPr>
          <w:rFonts w:ascii="Verdana" w:hAnsi="Verdana" w:cs="Arial"/>
          <w:lang w:val="es-MX"/>
        </w:rPr>
        <w:t xml:space="preserve"> CPACA)</w:t>
      </w:r>
    </w:p>
    <w:p w14:paraId="2A5246EE" w14:textId="77777777" w:rsidR="00ED4ECD" w:rsidRPr="006B179E" w:rsidRDefault="00ED4ECD" w:rsidP="00696B6A">
      <w:pPr>
        <w:pStyle w:val="Sinespaciado"/>
        <w:jc w:val="both"/>
        <w:rPr>
          <w:rFonts w:ascii="Verdana" w:hAnsi="Verdana" w:cs="Arial"/>
          <w:b/>
          <w:lang w:val="es-MX"/>
        </w:rPr>
      </w:pPr>
    </w:p>
    <w:p w14:paraId="3177E44A" w14:textId="3D04BA5C" w:rsidR="00B713D2" w:rsidRPr="006B179E" w:rsidRDefault="00ED4ECD" w:rsidP="00696B6A">
      <w:pPr>
        <w:pStyle w:val="Sinespaciado"/>
        <w:ind w:left="-1134"/>
        <w:jc w:val="both"/>
        <w:rPr>
          <w:rFonts w:ascii="Verdana" w:hAnsi="Verdana" w:cs="Arial"/>
          <w:lang w:val="es-MX"/>
        </w:rPr>
      </w:pPr>
      <w:r w:rsidRPr="006B179E">
        <w:rPr>
          <w:rFonts w:ascii="Verdana" w:eastAsia="Calibri" w:hAnsi="Verdana" w:cs="Arial"/>
          <w:lang w:val="es-MX"/>
        </w:rPr>
        <w:t>Elaborada por:</w:t>
      </w:r>
      <w:r w:rsidR="006B179E" w:rsidRPr="006B179E">
        <w:rPr>
          <w:rFonts w:ascii="Verdana" w:eastAsia="Calibri" w:hAnsi="Verdana" w:cs="Arial"/>
          <w:lang w:val="es-MX"/>
        </w:rPr>
        <w:t xml:space="preserve"> SAÚL MARTÍNEZ SALAS</w:t>
      </w:r>
    </w:p>
    <w:p w14:paraId="5F7DBDD4" w14:textId="5CEF0C74" w:rsidR="00ED4ECD" w:rsidRPr="006B179E" w:rsidRDefault="00B713D2" w:rsidP="00696B6A">
      <w:pPr>
        <w:pStyle w:val="Sinespaciado"/>
        <w:ind w:left="-1134"/>
        <w:jc w:val="both"/>
        <w:rPr>
          <w:rFonts w:ascii="Verdana" w:hAnsi="Verdana" w:cs="Arial"/>
          <w:lang w:val="es-MX"/>
        </w:rPr>
      </w:pPr>
      <w:r w:rsidRPr="006B179E">
        <w:rPr>
          <w:rFonts w:ascii="Verdana" w:hAnsi="Verdana" w:cs="Arial"/>
          <w:lang w:val="es-MX"/>
        </w:rPr>
        <w:t>Fecha:</w:t>
      </w:r>
      <w:r w:rsidR="00A91F5A" w:rsidRPr="006B179E">
        <w:rPr>
          <w:rFonts w:ascii="Verdana" w:hAnsi="Verdana" w:cs="Arial"/>
          <w:lang w:val="es-MX"/>
        </w:rPr>
        <w:t xml:space="preserve"> 4 DE SEPTIEMBRE DE 2021</w:t>
      </w:r>
    </w:p>
    <w:p w14:paraId="75E84AC6" w14:textId="03216EFD" w:rsidR="00ED4ECD" w:rsidRPr="006B179E" w:rsidRDefault="00B713D2" w:rsidP="00696B6A">
      <w:pPr>
        <w:pStyle w:val="Sinespaciado"/>
        <w:ind w:left="-1134"/>
        <w:jc w:val="both"/>
        <w:rPr>
          <w:rFonts w:ascii="Verdana" w:hAnsi="Verdana" w:cs="Arial"/>
          <w:lang w:val="es-MX"/>
        </w:rPr>
      </w:pPr>
      <w:r w:rsidRPr="006B179E">
        <w:rPr>
          <w:rFonts w:ascii="Verdana" w:hAnsi="Verdana" w:cs="Arial"/>
          <w:lang w:val="es-MX"/>
        </w:rPr>
        <w:t>Medio de c</w:t>
      </w:r>
      <w:r w:rsidR="00ED4ECD" w:rsidRPr="006B179E">
        <w:rPr>
          <w:rFonts w:ascii="Verdana" w:hAnsi="Verdana" w:cs="Arial"/>
          <w:lang w:val="es-MX"/>
        </w:rPr>
        <w:t xml:space="preserve">ontrol: </w:t>
      </w:r>
      <w:r w:rsidR="00A91F5A" w:rsidRPr="006B179E">
        <w:rPr>
          <w:rFonts w:ascii="Verdana" w:hAnsi="Verdana" w:cs="Arial"/>
          <w:lang w:val="es-MX"/>
        </w:rPr>
        <w:t>NULIDAD Y RESTABLECIMIENTO DEL DERECHO</w:t>
      </w:r>
    </w:p>
    <w:p w14:paraId="6B89892F" w14:textId="19E295BC" w:rsidR="00B713D2" w:rsidRPr="006B179E" w:rsidRDefault="00B713D2" w:rsidP="00696B6A">
      <w:pPr>
        <w:pStyle w:val="Sinespaciado"/>
        <w:ind w:left="-1134"/>
        <w:jc w:val="both"/>
        <w:rPr>
          <w:rFonts w:ascii="Verdana" w:hAnsi="Verdana" w:cs="Arial"/>
          <w:lang w:val="es-MX"/>
        </w:rPr>
      </w:pPr>
      <w:r w:rsidRPr="006B179E">
        <w:rPr>
          <w:rFonts w:ascii="Verdana" w:hAnsi="Verdana" w:cs="Arial"/>
          <w:lang w:val="es-MX"/>
        </w:rPr>
        <w:t>Demandante:</w:t>
      </w:r>
      <w:r w:rsidR="00A91F5A" w:rsidRPr="006B179E">
        <w:rPr>
          <w:rFonts w:ascii="Verdana" w:hAnsi="Verdana" w:cs="Arial"/>
          <w:lang w:val="es-MX"/>
        </w:rPr>
        <w:t xml:space="preserve"> </w:t>
      </w:r>
      <w:r w:rsidR="002F118C">
        <w:rPr>
          <w:rFonts w:ascii="Verdana" w:hAnsi="Verdana" w:cs="Arial"/>
          <w:lang w:val="es-MX"/>
        </w:rPr>
        <w:t>PRUDENCIA LÓPEZ</w:t>
      </w:r>
    </w:p>
    <w:p w14:paraId="1660C8A3" w14:textId="56BB7720" w:rsidR="00B713D2" w:rsidRPr="006B179E" w:rsidRDefault="00B713D2" w:rsidP="00696B6A">
      <w:pPr>
        <w:pStyle w:val="Sinespaciado"/>
        <w:ind w:left="-1134"/>
        <w:jc w:val="both"/>
        <w:rPr>
          <w:rFonts w:ascii="Verdana" w:hAnsi="Verdana" w:cs="Arial"/>
          <w:lang w:val="es-MX"/>
        </w:rPr>
      </w:pPr>
      <w:r w:rsidRPr="006B179E">
        <w:rPr>
          <w:rFonts w:ascii="Verdana" w:hAnsi="Verdana" w:cs="Arial"/>
          <w:lang w:val="es-MX"/>
        </w:rPr>
        <w:t>Demandado:</w:t>
      </w:r>
      <w:r w:rsidR="006B179E" w:rsidRPr="006B179E">
        <w:rPr>
          <w:rFonts w:ascii="Verdana" w:hAnsi="Verdana" w:cs="Arial"/>
          <w:lang w:val="es-MX"/>
        </w:rPr>
        <w:t xml:space="preserve"> </w:t>
      </w:r>
      <w:r w:rsidR="00A91F5A" w:rsidRPr="006B179E">
        <w:rPr>
          <w:rFonts w:ascii="Verdana" w:hAnsi="Verdana" w:cs="Arial"/>
          <w:lang w:val="es-MX"/>
        </w:rPr>
        <w:t xml:space="preserve">NACIÓN – POLICÍA NACIONAL – MINISTERIO DE DEFENSA </w:t>
      </w:r>
      <w:r w:rsidR="006B179E" w:rsidRPr="006B179E">
        <w:rPr>
          <w:rFonts w:ascii="Verdana" w:hAnsi="Verdana" w:cs="Arial"/>
          <w:lang w:val="es-MX"/>
        </w:rPr>
        <w:t>NACIONA</w:t>
      </w:r>
      <w:r w:rsidR="00696B6A">
        <w:rPr>
          <w:rFonts w:ascii="Verdana" w:hAnsi="Verdana" w:cs="Arial"/>
          <w:lang w:val="es-MX"/>
        </w:rPr>
        <w:t>L</w:t>
      </w:r>
      <w:r w:rsidR="006B179E" w:rsidRPr="006B179E">
        <w:rPr>
          <w:rFonts w:ascii="Verdana" w:hAnsi="Verdana" w:cs="Arial"/>
          <w:lang w:val="es-MX"/>
        </w:rPr>
        <w:t xml:space="preserve"> -</w:t>
      </w:r>
      <w:r w:rsidR="00A91F5A" w:rsidRPr="006B179E">
        <w:rPr>
          <w:rFonts w:ascii="Verdana" w:hAnsi="Verdana" w:cs="Arial"/>
          <w:lang w:val="es-MX"/>
        </w:rPr>
        <w:t xml:space="preserve"> CASUR</w:t>
      </w:r>
    </w:p>
    <w:p w14:paraId="19FDD2BC" w14:textId="77777777" w:rsidR="00B713D2" w:rsidRPr="006B179E" w:rsidRDefault="00B713D2" w:rsidP="00696B6A">
      <w:pPr>
        <w:pStyle w:val="Sinespaciado"/>
        <w:ind w:left="-1134"/>
        <w:jc w:val="both"/>
        <w:rPr>
          <w:rFonts w:ascii="Verdana" w:hAnsi="Verdana" w:cs="Arial"/>
          <w:lang w:val="es-MX"/>
        </w:rPr>
      </w:pPr>
    </w:p>
    <w:p w14:paraId="398A2EA5" w14:textId="77777777" w:rsidR="00B713D2" w:rsidRPr="006B179E" w:rsidRDefault="00B713D2" w:rsidP="00696B6A">
      <w:pPr>
        <w:pStyle w:val="Sinespaciado"/>
        <w:ind w:left="-1134"/>
        <w:jc w:val="both"/>
        <w:rPr>
          <w:rFonts w:ascii="Verdana" w:hAnsi="Verdana"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6B179E" w14:paraId="20333542" w14:textId="77777777" w:rsidTr="00CC64F1">
        <w:trPr>
          <w:trHeight w:val="363"/>
        </w:trPr>
        <w:tc>
          <w:tcPr>
            <w:tcW w:w="9598" w:type="dxa"/>
          </w:tcPr>
          <w:p w14:paraId="052C3A33" w14:textId="77777777" w:rsidR="00CC64F1" w:rsidRPr="006B179E" w:rsidRDefault="005B3ECD" w:rsidP="00696B6A">
            <w:pPr>
              <w:pStyle w:val="Sinespaciado"/>
              <w:ind w:left="27"/>
              <w:jc w:val="both"/>
              <w:rPr>
                <w:rFonts w:ascii="Verdana" w:eastAsia="Calibri" w:hAnsi="Verdana" w:cs="Arial"/>
                <w:b/>
                <w:lang w:val="es-MX"/>
              </w:rPr>
            </w:pPr>
            <w:r w:rsidRPr="006B179E">
              <w:rPr>
                <w:rFonts w:ascii="Verdana" w:eastAsia="Calibri" w:hAnsi="Verdana" w:cs="Arial"/>
                <w:b/>
                <w:lang w:val="es-MX"/>
              </w:rPr>
              <w:t>VERIFICACIÓN DE REGLAS PROCESALES PARA EMISIÓN DE SENTENCIA ANTICIPADA</w:t>
            </w:r>
          </w:p>
          <w:p w14:paraId="0CC16A3B" w14:textId="77777777" w:rsidR="00CC64F1" w:rsidRPr="006B179E" w:rsidRDefault="00CC64F1" w:rsidP="00696B6A">
            <w:pPr>
              <w:pStyle w:val="Sinespaciado"/>
              <w:jc w:val="both"/>
              <w:rPr>
                <w:rFonts w:ascii="Verdana" w:eastAsia="Calibri" w:hAnsi="Verdana" w:cs="Arial"/>
                <w:lang w:val="es-MX"/>
              </w:rPr>
            </w:pPr>
          </w:p>
          <w:p w14:paraId="315964FF" w14:textId="52D22F53" w:rsidR="00A91F5A" w:rsidRPr="006B179E" w:rsidRDefault="002971BC" w:rsidP="00696B6A">
            <w:pPr>
              <w:pStyle w:val="Sinespaciado"/>
              <w:jc w:val="both"/>
              <w:rPr>
                <w:rFonts w:ascii="Verdana" w:eastAsia="Calibri" w:hAnsi="Verdana" w:cs="Arial"/>
                <w:lang w:val="es-MX"/>
              </w:rPr>
            </w:pPr>
            <w:r w:rsidRPr="006B179E">
              <w:rPr>
                <w:rFonts w:ascii="Verdana" w:eastAsia="Calibri" w:hAnsi="Verdana" w:cs="Arial"/>
                <w:lang w:val="es-MX"/>
              </w:rPr>
              <w:t xml:space="preserve">Verifique que el término de traslado de la demanda se encuentra vencido y que no hay excepciones previas que resolver o </w:t>
            </w:r>
            <w:r w:rsidR="00EB3514" w:rsidRPr="006B179E">
              <w:rPr>
                <w:rFonts w:ascii="Verdana" w:eastAsia="Calibri" w:hAnsi="Verdana" w:cs="Arial"/>
                <w:lang w:val="es-MX"/>
              </w:rPr>
              <w:t>no se adviert</w:t>
            </w:r>
            <w:r w:rsidR="00696B6A">
              <w:rPr>
                <w:rFonts w:ascii="Verdana" w:eastAsia="Calibri" w:hAnsi="Verdana" w:cs="Arial"/>
                <w:lang w:val="es-MX"/>
              </w:rPr>
              <w:t>e</w:t>
            </w:r>
            <w:r w:rsidR="00EB3514" w:rsidRPr="006B179E">
              <w:rPr>
                <w:rFonts w:ascii="Verdana" w:eastAsia="Calibri" w:hAnsi="Verdana" w:cs="Arial"/>
                <w:lang w:val="es-MX"/>
              </w:rPr>
              <w:t xml:space="preserve"> el incumplimiento de requisitos de procedibilidad</w:t>
            </w:r>
            <w:r w:rsidR="006B179E">
              <w:rPr>
                <w:rFonts w:ascii="Verdana" w:eastAsia="Calibri" w:hAnsi="Verdana" w:cs="Arial"/>
                <w:lang w:val="es-MX"/>
              </w:rPr>
              <w:t xml:space="preserve"> </w:t>
            </w:r>
            <w:r w:rsidR="00A91F5A" w:rsidRPr="006B179E">
              <w:rPr>
                <w:rFonts w:ascii="Verdana" w:eastAsia="Calibri" w:hAnsi="Verdana" w:cs="Arial"/>
                <w:lang w:val="es-MX"/>
              </w:rPr>
              <w:t>(</w:t>
            </w:r>
            <w:r w:rsidR="006B179E">
              <w:rPr>
                <w:rFonts w:ascii="Verdana" w:eastAsia="Calibri" w:hAnsi="Verdana" w:cs="Arial"/>
                <w:lang w:val="es-MX"/>
              </w:rPr>
              <w:t>artículos</w:t>
            </w:r>
            <w:r w:rsidR="00A91F5A" w:rsidRPr="006B179E">
              <w:rPr>
                <w:rFonts w:ascii="Verdana" w:eastAsia="Calibri" w:hAnsi="Verdana" w:cs="Arial"/>
                <w:lang w:val="es-MX"/>
              </w:rPr>
              <w:t xml:space="preserve"> 172, 175</w:t>
            </w:r>
            <w:r w:rsidR="006B179E">
              <w:rPr>
                <w:rFonts w:ascii="Verdana" w:eastAsia="Calibri" w:hAnsi="Verdana" w:cs="Arial"/>
                <w:lang w:val="es-MX"/>
              </w:rPr>
              <w:t xml:space="preserve"> y</w:t>
            </w:r>
            <w:r w:rsidR="00A91F5A" w:rsidRPr="006B179E">
              <w:rPr>
                <w:rFonts w:ascii="Verdana" w:eastAsia="Calibri" w:hAnsi="Verdana" w:cs="Arial"/>
                <w:lang w:val="es-MX"/>
              </w:rPr>
              <w:t xml:space="preserve"> 199 del CPACA)</w:t>
            </w:r>
          </w:p>
          <w:p w14:paraId="17C69E5A" w14:textId="77777777" w:rsidR="00A91F5A" w:rsidRPr="006B179E" w:rsidRDefault="00A91F5A" w:rsidP="00696B6A">
            <w:pPr>
              <w:pStyle w:val="Sinespaciado"/>
              <w:jc w:val="both"/>
              <w:rPr>
                <w:rFonts w:ascii="Verdana" w:eastAsia="Calibri" w:hAnsi="Verdana" w:cs="Arial"/>
                <w:b/>
                <w:bCs/>
                <w:lang w:val="es-MX"/>
              </w:rPr>
            </w:pPr>
          </w:p>
          <w:p w14:paraId="0B85C256" w14:textId="13501429" w:rsidR="002971BC" w:rsidRPr="006B179E" w:rsidRDefault="00A91F5A" w:rsidP="00696B6A">
            <w:pPr>
              <w:pStyle w:val="Sinespaciado"/>
              <w:jc w:val="both"/>
              <w:rPr>
                <w:rFonts w:ascii="Verdana" w:eastAsia="Calibri" w:hAnsi="Verdana" w:cs="Arial"/>
                <w:lang w:val="es-MX"/>
              </w:rPr>
            </w:pPr>
            <w:r w:rsidRPr="006B179E">
              <w:rPr>
                <w:rFonts w:ascii="Verdana" w:eastAsia="Calibri" w:hAnsi="Verdana" w:cs="Arial"/>
                <w:lang w:val="es-MX"/>
              </w:rPr>
              <w:t>R</w:t>
            </w:r>
            <w:r w:rsidR="006B179E">
              <w:rPr>
                <w:rFonts w:ascii="Verdana" w:eastAsia="Calibri" w:hAnsi="Verdana" w:cs="Arial"/>
                <w:lang w:val="es-MX"/>
              </w:rPr>
              <w:t>espuesta</w:t>
            </w:r>
            <w:r w:rsidRPr="006B179E">
              <w:rPr>
                <w:rFonts w:ascii="Verdana" w:eastAsia="Calibri" w:hAnsi="Verdana" w:cs="Arial"/>
                <w:lang w:val="es-MX"/>
              </w:rPr>
              <w:t>: el término de traslado se</w:t>
            </w:r>
            <w:r w:rsidR="006B179E" w:rsidRPr="006B179E">
              <w:rPr>
                <w:rFonts w:ascii="Verdana" w:eastAsia="Calibri" w:hAnsi="Verdana" w:cs="Arial"/>
                <w:lang w:val="es-MX"/>
              </w:rPr>
              <w:t xml:space="preserve"> encuentra vencido</w:t>
            </w:r>
            <w:r w:rsidRPr="006B179E">
              <w:rPr>
                <w:rFonts w:ascii="Verdana" w:eastAsia="Calibri" w:hAnsi="Verdana" w:cs="Arial"/>
                <w:lang w:val="es-MX"/>
              </w:rPr>
              <w:t>, no hay excepciones previas que resolver y se cumple con el requisito de procedibilidad</w:t>
            </w:r>
            <w:r w:rsidR="006B179E">
              <w:rPr>
                <w:rFonts w:ascii="Verdana" w:eastAsia="Calibri" w:hAnsi="Verdana" w:cs="Arial"/>
                <w:lang w:val="es-MX"/>
              </w:rPr>
              <w:t xml:space="preserve"> exigido</w:t>
            </w:r>
            <w:r w:rsidRPr="006B179E">
              <w:rPr>
                <w:rFonts w:ascii="Verdana" w:eastAsia="Calibri" w:hAnsi="Verdana" w:cs="Arial"/>
                <w:lang w:val="es-MX"/>
              </w:rPr>
              <w:t>.</w:t>
            </w:r>
          </w:p>
          <w:p w14:paraId="774F0D43" w14:textId="77777777" w:rsidR="00A91F5A" w:rsidRPr="006B179E" w:rsidRDefault="00A91F5A" w:rsidP="00696B6A">
            <w:pPr>
              <w:pStyle w:val="Sinespaciado"/>
              <w:jc w:val="both"/>
              <w:rPr>
                <w:rFonts w:ascii="Verdana" w:eastAsia="Calibri" w:hAnsi="Verdana" w:cs="Arial"/>
                <w:b/>
                <w:bCs/>
                <w:lang w:val="es-MX"/>
              </w:rPr>
            </w:pPr>
          </w:p>
          <w:p w14:paraId="37D3C4DD" w14:textId="77777777" w:rsidR="00823B31" w:rsidRDefault="00245C3E" w:rsidP="00696B6A">
            <w:pPr>
              <w:spacing w:after="0" w:line="240" w:lineRule="auto"/>
              <w:jc w:val="both"/>
              <w:rPr>
                <w:rFonts w:ascii="Verdana" w:hAnsi="Verdana" w:cs="Arial"/>
                <w:bCs/>
              </w:rPr>
            </w:pPr>
            <w:r w:rsidRPr="006B179E">
              <w:rPr>
                <w:rFonts w:ascii="Verdana" w:hAnsi="Verdana" w:cs="Arial"/>
              </w:rPr>
              <w:t xml:space="preserve">Nota: para posibilitar que se pueda proferir sentencia anticipada, es necesario agotar de </w:t>
            </w:r>
            <w:r w:rsidR="00696B6A">
              <w:rPr>
                <w:rFonts w:ascii="Verdana" w:hAnsi="Verdana" w:cs="Arial"/>
              </w:rPr>
              <w:t xml:space="preserve">forma </w:t>
            </w:r>
            <w:r w:rsidRPr="006B179E">
              <w:rPr>
                <w:rFonts w:ascii="Verdana" w:hAnsi="Verdana" w:cs="Arial"/>
              </w:rPr>
              <w:t>previa</w:t>
            </w:r>
            <w:r w:rsidRPr="006B179E">
              <w:rPr>
                <w:rFonts w:ascii="Verdana" w:hAnsi="Verdana" w:cs="Arial"/>
                <w:bCs/>
              </w:rPr>
              <w:t xml:space="preserve"> varios trámites dispuestos en el artículo 182</w:t>
            </w:r>
            <w:r w:rsidR="00696B6A">
              <w:rPr>
                <w:rFonts w:ascii="Verdana" w:hAnsi="Verdana" w:cs="Arial"/>
                <w:bCs/>
              </w:rPr>
              <w:t>A del CPACA</w:t>
            </w:r>
            <w:r w:rsidRPr="006B179E">
              <w:rPr>
                <w:rFonts w:ascii="Verdana" w:hAnsi="Verdana" w:cs="Arial"/>
                <w:bCs/>
              </w:rPr>
              <w:t xml:space="preserve">, esto es, las medidas que se señalan a continuación. </w:t>
            </w:r>
          </w:p>
          <w:p w14:paraId="609A72CE" w14:textId="3D210BF0" w:rsidR="00696B6A" w:rsidRPr="006B179E" w:rsidRDefault="00696B6A" w:rsidP="00696B6A">
            <w:pPr>
              <w:spacing w:after="0" w:line="240" w:lineRule="auto"/>
              <w:jc w:val="both"/>
              <w:rPr>
                <w:rFonts w:ascii="Verdana" w:eastAsia="Calibri" w:hAnsi="Verdana" w:cs="Arial"/>
                <w:lang w:val="es-MX"/>
              </w:rPr>
            </w:pPr>
          </w:p>
        </w:tc>
      </w:tr>
      <w:tr w:rsidR="00CC64F1" w:rsidRPr="006B179E" w14:paraId="1FACCBF1" w14:textId="77777777" w:rsidTr="00CC64F1">
        <w:trPr>
          <w:trHeight w:val="363"/>
        </w:trPr>
        <w:tc>
          <w:tcPr>
            <w:tcW w:w="9598" w:type="dxa"/>
          </w:tcPr>
          <w:p w14:paraId="63DE1F23" w14:textId="77777777" w:rsidR="002F118C" w:rsidRDefault="002F118C" w:rsidP="00696B6A">
            <w:pPr>
              <w:pStyle w:val="Sinespaciado"/>
              <w:jc w:val="both"/>
              <w:rPr>
                <w:rFonts w:ascii="Verdana" w:eastAsia="Calibri" w:hAnsi="Verdana" w:cs="Arial"/>
                <w:b/>
                <w:lang w:val="es-MX"/>
              </w:rPr>
            </w:pPr>
          </w:p>
          <w:p w14:paraId="678EF872" w14:textId="61E9DD5D" w:rsidR="00CC64F1" w:rsidRPr="006B179E" w:rsidRDefault="00696B6A" w:rsidP="00696B6A">
            <w:pPr>
              <w:pStyle w:val="Sinespaciado"/>
              <w:jc w:val="both"/>
              <w:rPr>
                <w:rFonts w:ascii="Verdana" w:eastAsia="Calibri" w:hAnsi="Verdana" w:cs="Arial"/>
                <w:b/>
                <w:lang w:val="es-MX"/>
              </w:rPr>
            </w:pPr>
            <w:r>
              <w:rPr>
                <w:rFonts w:ascii="Verdana" w:eastAsia="Calibri" w:hAnsi="Verdana" w:cs="Arial"/>
                <w:b/>
                <w:lang w:val="es-MX"/>
              </w:rPr>
              <w:t xml:space="preserve">1. </w:t>
            </w:r>
            <w:r w:rsidR="00341FFF" w:rsidRPr="006B179E">
              <w:rPr>
                <w:rFonts w:ascii="Verdana" w:eastAsia="Calibri" w:hAnsi="Verdana" w:cs="Arial"/>
                <w:b/>
                <w:lang w:val="es-MX"/>
              </w:rPr>
              <w:t>SENTENCIA ANTICIPADA ANTES DE LA AUDIENCIA INICIAL</w:t>
            </w:r>
            <w:r w:rsidR="00222D4A" w:rsidRPr="006B179E">
              <w:rPr>
                <w:rFonts w:ascii="Verdana" w:eastAsia="Calibri" w:hAnsi="Verdana" w:cs="Arial"/>
                <w:b/>
                <w:lang w:val="es-MX"/>
              </w:rPr>
              <w:t xml:space="preserve"> </w:t>
            </w:r>
          </w:p>
          <w:p w14:paraId="72DE1496" w14:textId="77777777" w:rsidR="00222D4A" w:rsidRPr="006B179E" w:rsidRDefault="00222D4A" w:rsidP="00696B6A">
            <w:pPr>
              <w:pStyle w:val="Sinespaciado"/>
              <w:jc w:val="both"/>
              <w:rPr>
                <w:rFonts w:ascii="Verdana" w:eastAsia="Calibri" w:hAnsi="Verdana" w:cs="Arial"/>
                <w:lang w:val="es-MX"/>
              </w:rPr>
            </w:pPr>
          </w:p>
          <w:p w14:paraId="4CC8C344" w14:textId="6F7F33D0" w:rsidR="004C270A" w:rsidRPr="006B179E" w:rsidRDefault="00341FFF" w:rsidP="00696B6A">
            <w:pPr>
              <w:pStyle w:val="Sinespaciado"/>
              <w:jc w:val="both"/>
              <w:rPr>
                <w:rFonts w:ascii="Verdana" w:eastAsia="Calibri" w:hAnsi="Verdana" w:cs="Arial"/>
                <w:lang w:val="es-MX"/>
              </w:rPr>
            </w:pPr>
            <w:r w:rsidRPr="006B179E">
              <w:rPr>
                <w:rFonts w:ascii="Verdana" w:eastAsia="Calibri" w:hAnsi="Verdana" w:cs="Arial"/>
                <w:lang w:val="es-MX"/>
              </w:rPr>
              <w:t xml:space="preserve"> </w:t>
            </w:r>
            <w:r w:rsidR="004C270A" w:rsidRPr="006B179E">
              <w:rPr>
                <w:rFonts w:ascii="Verdana" w:eastAsia="Calibri" w:hAnsi="Verdana" w:cs="Arial"/>
                <w:lang w:val="es-MX"/>
              </w:rPr>
              <w:t>(</w:t>
            </w:r>
            <w:r w:rsidRPr="006B179E">
              <w:rPr>
                <w:rFonts w:ascii="Verdana" w:eastAsia="Calibri" w:hAnsi="Verdana" w:cs="Arial"/>
                <w:lang w:val="es-MX"/>
              </w:rPr>
              <w:t>Numeral 1° del artículo 182</w:t>
            </w:r>
            <w:r w:rsidR="00C5649B" w:rsidRPr="006B179E">
              <w:rPr>
                <w:rFonts w:ascii="Verdana" w:eastAsia="Calibri" w:hAnsi="Verdana" w:cs="Arial"/>
                <w:lang w:val="es-MX"/>
              </w:rPr>
              <w:t>A</w:t>
            </w:r>
            <w:r w:rsidRPr="006B179E">
              <w:rPr>
                <w:rFonts w:ascii="Verdana" w:eastAsia="Calibri" w:hAnsi="Verdana" w:cs="Arial"/>
                <w:lang w:val="es-MX"/>
              </w:rPr>
              <w:t xml:space="preserve"> del </w:t>
            </w:r>
            <w:r w:rsidR="001C54E3" w:rsidRPr="006B179E">
              <w:rPr>
                <w:rFonts w:ascii="Verdana" w:eastAsia="Calibri" w:hAnsi="Verdana" w:cs="Arial"/>
                <w:lang w:val="es-MX"/>
              </w:rPr>
              <w:t>CPACA)</w:t>
            </w:r>
          </w:p>
          <w:p w14:paraId="4CF7DC72" w14:textId="7DF3B66F" w:rsidR="00341FFF" w:rsidRPr="006B179E" w:rsidRDefault="00A91F5A" w:rsidP="00696B6A">
            <w:pPr>
              <w:pStyle w:val="Sinespaciado"/>
              <w:jc w:val="both"/>
              <w:rPr>
                <w:rFonts w:ascii="Verdana" w:eastAsia="Calibri" w:hAnsi="Verdana" w:cs="Arial"/>
                <w:lang w:val="es-MX"/>
              </w:rPr>
            </w:pPr>
            <w:r w:rsidRPr="006B179E">
              <w:rPr>
                <w:rFonts w:ascii="Verdana" w:eastAsia="Calibri" w:hAnsi="Verdana" w:cs="Arial"/>
                <w:noProof/>
              </w:rPr>
              <mc:AlternateContent>
                <mc:Choice Requires="wps">
                  <w:drawing>
                    <wp:anchor distT="0" distB="0" distL="114300" distR="114300" simplePos="0" relativeHeight="251706368" behindDoc="0" locked="0" layoutInCell="1" allowOverlap="1" wp14:anchorId="7611BAD8" wp14:editId="4B7B6A46">
                      <wp:simplePos x="0" y="0"/>
                      <wp:positionH relativeFrom="column">
                        <wp:posOffset>3490788</wp:posOffset>
                      </wp:positionH>
                      <wp:positionV relativeFrom="paragraph">
                        <wp:posOffset>58798</wp:posOffset>
                      </wp:positionV>
                      <wp:extent cx="405114" cy="272937"/>
                      <wp:effectExtent l="0" t="0" r="14605" b="6985"/>
                      <wp:wrapNone/>
                      <wp:docPr id="5" name="Rectángulo 5"/>
                      <wp:cNvGraphicFramePr/>
                      <a:graphic xmlns:a="http://schemas.openxmlformats.org/drawingml/2006/main">
                        <a:graphicData uri="http://schemas.microsoft.com/office/word/2010/wordprocessingShape">
                          <wps:wsp>
                            <wps:cNvSpPr/>
                            <wps:spPr>
                              <a:xfrm>
                                <a:off x="0" y="0"/>
                                <a:ext cx="405114" cy="272937"/>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71D1EB" w14:textId="2A002C30" w:rsidR="00A91F5A" w:rsidRPr="00A91F5A" w:rsidRDefault="00A91F5A" w:rsidP="00A91F5A">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left:0;text-align:left;margin-left:274.85pt;margin-top:4.65pt;width:31.9pt;height:2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" fillcolor="white [3201]" strokecolor="#70ad47 [3209]" strokeweight="1pt">
                      <v:textbox>
                        <w:txbxContent>
                          <w:p w14:paraId="5C71D1EB" w14:textId="2A002C30" w:rsidR="00A91F5A" w:rsidRPr="00A91F5A" w:rsidRDefault="00A91F5A" w:rsidP="00A91F5A">
                            <w:pPr>
                              <w:jc w:val="center"/>
                              <w:rPr>
                                <w:lang w:val="es-ES"/>
                              </w:rPr>
                            </w:pPr>
                            <w:r>
                              <w:rPr>
                                <w:lang w:val="es-ES"/>
                              </w:rPr>
                              <w:t>X</w:t>
                            </w:r>
                          </w:p>
                        </w:txbxContent>
                      </v:textbox>
                    </v:rect>
                  </w:pict>
                </mc:Fallback>
              </mc:AlternateContent>
            </w:r>
          </w:p>
          <w:p w14:paraId="5BD0EBF6" w14:textId="77777777" w:rsidR="00341FFF" w:rsidRPr="006B179E" w:rsidRDefault="00341FFF" w:rsidP="00696B6A">
            <w:pPr>
              <w:pStyle w:val="Sinespaciado"/>
              <w:ind w:left="27"/>
              <w:jc w:val="both"/>
              <w:rPr>
                <w:rFonts w:ascii="Verdana" w:hAnsi="Verdana" w:cs="Arial"/>
              </w:rPr>
            </w:pPr>
            <w:r w:rsidRPr="006B179E">
              <w:rPr>
                <w:rFonts w:ascii="Verdana" w:hAnsi="Verdana" w:cs="Arial"/>
                <w:b/>
              </w:rPr>
              <w:t>a</w:t>
            </w:r>
            <w:r w:rsidRPr="006B179E">
              <w:rPr>
                <w:rFonts w:ascii="Verdana" w:hAnsi="Verdana" w:cs="Arial"/>
              </w:rPr>
              <w:t>) Cuando se trate de asuntos de puro derecho;  </w:t>
            </w:r>
          </w:p>
          <w:p w14:paraId="78F92171" w14:textId="77777777" w:rsidR="00306339" w:rsidRPr="006B179E" w:rsidRDefault="00306339" w:rsidP="00696B6A">
            <w:pPr>
              <w:pStyle w:val="Sinespaciado"/>
              <w:ind w:left="27"/>
              <w:jc w:val="both"/>
              <w:rPr>
                <w:rFonts w:ascii="Verdana" w:hAnsi="Verdana" w:cs="Arial"/>
                <w:b/>
                <w:bCs/>
              </w:rPr>
            </w:pPr>
            <w:r w:rsidRPr="006B179E">
              <w:rPr>
                <w:rFonts w:ascii="Verdana" w:eastAsia="Calibri" w:hAnsi="Verdana" w:cs="Arial"/>
                <w:noProof/>
              </w:rPr>
              <mc:AlternateContent>
                <mc:Choice Requires="wps">
                  <w:drawing>
                    <wp:anchor distT="0" distB="0" distL="114300" distR="114300" simplePos="0" relativeHeight="251708416" behindDoc="0" locked="0" layoutInCell="1" allowOverlap="1" wp14:anchorId="45B914E8" wp14:editId="47F1C3FD">
                      <wp:simplePos x="0" y="0"/>
                      <wp:positionH relativeFrom="column">
                        <wp:posOffset>3131972</wp:posOffset>
                      </wp:positionH>
                      <wp:positionV relativeFrom="paragraph">
                        <wp:posOffset>84728</wp:posOffset>
                      </wp:positionV>
                      <wp:extent cx="358815" cy="249788"/>
                      <wp:effectExtent l="0" t="0" r="9525" b="17145"/>
                      <wp:wrapNone/>
                      <wp:docPr id="6" name="Rectángulo 6"/>
                      <wp:cNvGraphicFramePr/>
                      <a:graphic xmlns:a="http://schemas.openxmlformats.org/drawingml/2006/main">
                        <a:graphicData uri="http://schemas.microsoft.com/office/word/2010/wordprocessingShape">
                          <wps:wsp>
                            <wps:cNvSpPr/>
                            <wps:spPr>
                              <a:xfrm>
                                <a:off x="0" y="0"/>
                                <a:ext cx="358815" cy="249788"/>
                              </a:xfrm>
                              <a:prstGeom prst="rect">
                                <a:avLst/>
                              </a:prstGeom>
                            </wps:spPr>
                            <wps:style>
                              <a:lnRef idx="2">
                                <a:schemeClr val="accent6"/>
                              </a:lnRef>
                              <a:fillRef idx="1">
                                <a:schemeClr val="lt1"/>
                              </a:fillRef>
                              <a:effectRef idx="0">
                                <a:schemeClr val="accent6"/>
                              </a:effectRef>
                              <a:fontRef idx="minor">
                                <a:schemeClr val="dk1"/>
                              </a:fontRef>
                            </wps:style>
                            <wps:txbx>
                              <w:txbxContent>
                                <w:p w14:paraId="29E6FE96" w14:textId="22C134CD" w:rsidR="00731A3D" w:rsidRPr="00731A3D" w:rsidRDefault="00731A3D" w:rsidP="00731A3D">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6.6pt;margin-top:6.65pt;width:28.25pt;height:19.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" fillcolor="white [3201]" strokecolor="#70ad47 [3209]" strokeweight="1pt">
                      <v:textbox>
                        <w:txbxContent>
                          <w:p w14:paraId="29E6FE96" w14:textId="22C134CD" w:rsidR="00731A3D" w:rsidRPr="00731A3D" w:rsidRDefault="00731A3D" w:rsidP="00731A3D">
                            <w:pPr>
                              <w:jc w:val="center"/>
                              <w:rPr>
                                <w:lang w:val="es-ES"/>
                              </w:rPr>
                            </w:pPr>
                            <w:r>
                              <w:rPr>
                                <w:lang w:val="es-ES"/>
                              </w:rPr>
                              <w:t>X</w:t>
                            </w:r>
                          </w:p>
                        </w:txbxContent>
                      </v:textbox>
                    </v:rect>
                  </w:pict>
                </mc:Fallback>
              </mc:AlternateContent>
            </w:r>
          </w:p>
          <w:p w14:paraId="0884ED88" w14:textId="77777777" w:rsidR="00341FFF" w:rsidRPr="006B179E" w:rsidRDefault="00341FFF" w:rsidP="00696B6A">
            <w:pPr>
              <w:pStyle w:val="Sinespaciado"/>
              <w:ind w:left="27"/>
              <w:jc w:val="both"/>
              <w:rPr>
                <w:rFonts w:ascii="Verdana" w:hAnsi="Verdana" w:cs="Arial"/>
              </w:rPr>
            </w:pPr>
            <w:r w:rsidRPr="006B179E">
              <w:rPr>
                <w:rFonts w:ascii="Verdana" w:hAnsi="Verdana" w:cs="Arial"/>
                <w:b/>
                <w:bCs/>
              </w:rPr>
              <w:t>b)</w:t>
            </w:r>
            <w:r w:rsidRPr="006B179E">
              <w:rPr>
                <w:rFonts w:ascii="Verdana" w:hAnsi="Verdana" w:cs="Arial"/>
              </w:rPr>
              <w:t xml:space="preserve"> Cuando no haya que practicar pruebas;  </w:t>
            </w:r>
          </w:p>
          <w:p w14:paraId="6E992916" w14:textId="77777777" w:rsidR="00306339" w:rsidRPr="006B179E" w:rsidRDefault="00306339" w:rsidP="00696B6A">
            <w:pPr>
              <w:pStyle w:val="Sinespaciado"/>
              <w:ind w:left="27"/>
              <w:jc w:val="both"/>
              <w:rPr>
                <w:rFonts w:ascii="Verdana" w:hAnsi="Verdana" w:cs="Arial"/>
                <w:b/>
                <w:bCs/>
              </w:rPr>
            </w:pPr>
          </w:p>
          <w:p w14:paraId="56FCF477" w14:textId="687AC146" w:rsidR="00306339" w:rsidRDefault="00341FFF" w:rsidP="00696B6A">
            <w:pPr>
              <w:pStyle w:val="Sinespaciado"/>
              <w:ind w:left="27"/>
              <w:jc w:val="both"/>
              <w:rPr>
                <w:rFonts w:ascii="Verdana" w:hAnsi="Verdana" w:cs="Arial"/>
              </w:rPr>
            </w:pPr>
            <w:r w:rsidRPr="006B179E">
              <w:rPr>
                <w:rFonts w:ascii="Verdana" w:eastAsia="Calibri" w:hAnsi="Verdana" w:cs="Arial"/>
                <w:noProof/>
              </w:rPr>
              <mc:AlternateContent>
                <mc:Choice Requires="wps">
                  <w:drawing>
                    <wp:anchor distT="0" distB="0" distL="114300" distR="114300" simplePos="0" relativeHeight="251710464" behindDoc="0" locked="0" layoutInCell="1" allowOverlap="1" wp14:anchorId="592904FA" wp14:editId="183C9104">
                      <wp:simplePos x="0" y="0"/>
                      <wp:positionH relativeFrom="column">
                        <wp:posOffset>1604114</wp:posOffset>
                      </wp:positionH>
                      <wp:positionV relativeFrom="paragraph">
                        <wp:posOffset>320394</wp:posOffset>
                      </wp:positionV>
                      <wp:extent cx="405114" cy="277792"/>
                      <wp:effectExtent l="0" t="0" r="14605" b="14605"/>
                      <wp:wrapNone/>
                      <wp:docPr id="15" name="Rectángulo 15"/>
                      <wp:cNvGraphicFramePr/>
                      <a:graphic xmlns:a="http://schemas.openxmlformats.org/drawingml/2006/main">
                        <a:graphicData uri="http://schemas.microsoft.com/office/word/2010/wordprocessingShape">
                          <wps:wsp>
                            <wps:cNvSpPr/>
                            <wps:spPr>
                              <a:xfrm>
                                <a:off x="0" y="0"/>
                                <a:ext cx="405114" cy="277792"/>
                              </a:xfrm>
                              <a:prstGeom prst="rect">
                                <a:avLst/>
                              </a:prstGeom>
                            </wps:spPr>
                            <wps:style>
                              <a:lnRef idx="2">
                                <a:schemeClr val="accent6"/>
                              </a:lnRef>
                              <a:fillRef idx="1">
                                <a:schemeClr val="lt1"/>
                              </a:fillRef>
                              <a:effectRef idx="0">
                                <a:schemeClr val="accent6"/>
                              </a:effectRef>
                              <a:fontRef idx="minor">
                                <a:schemeClr val="dk1"/>
                              </a:fontRef>
                            </wps:style>
                            <wps:txbx>
                              <w:txbxContent>
                                <w:p w14:paraId="0E922906" w14:textId="66940504" w:rsidR="00731A3D" w:rsidRPr="00731A3D" w:rsidRDefault="00731A3D" w:rsidP="00731A3D">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3pt;margin-top:25.25pt;width:31.9pt;height:21.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" fillcolor="white [3201]" strokecolor="#70ad47 [3209]" strokeweight="1pt">
                      <v:textbox>
                        <w:txbxContent>
                          <w:p w14:paraId="0E922906" w14:textId="66940504" w:rsidR="00731A3D" w:rsidRPr="00731A3D" w:rsidRDefault="00731A3D" w:rsidP="00731A3D">
                            <w:pPr>
                              <w:jc w:val="center"/>
                              <w:rPr>
                                <w:lang w:val="es-ES"/>
                              </w:rPr>
                            </w:pPr>
                            <w:r>
                              <w:rPr>
                                <w:lang w:val="es-ES"/>
                              </w:rPr>
                              <w:t>X</w:t>
                            </w:r>
                          </w:p>
                        </w:txbxContent>
                      </v:textbox>
                    </v:rect>
                  </w:pict>
                </mc:Fallback>
              </mc:AlternateContent>
            </w:r>
            <w:r w:rsidRPr="006B179E">
              <w:rPr>
                <w:rFonts w:ascii="Verdana" w:hAnsi="Verdana" w:cs="Arial"/>
                <w:b/>
                <w:bCs/>
              </w:rPr>
              <w:t>c)</w:t>
            </w:r>
            <w:r w:rsidRPr="006B179E">
              <w:rPr>
                <w:rFonts w:ascii="Verdana" w:hAnsi="Verdana" w:cs="Arial"/>
              </w:rPr>
              <w:t xml:space="preserve"> Cuando solo se solicite tener como pruebas las documentales aportadas con la demanda y la contestación, y sobre ellas no se hubiese formulado tacha o desconocimiento; </w:t>
            </w:r>
          </w:p>
          <w:p w14:paraId="48557F48" w14:textId="77777777" w:rsidR="00696B6A" w:rsidRPr="006B179E" w:rsidRDefault="00696B6A" w:rsidP="00696B6A">
            <w:pPr>
              <w:pStyle w:val="Sinespaciado"/>
              <w:ind w:left="27"/>
              <w:jc w:val="both"/>
              <w:rPr>
                <w:rFonts w:ascii="Verdana" w:hAnsi="Verdana" w:cs="Arial"/>
                <w:b/>
                <w:bCs/>
              </w:rPr>
            </w:pPr>
          </w:p>
          <w:p w14:paraId="413B63C7" w14:textId="77777777" w:rsidR="00341FFF" w:rsidRPr="006B179E" w:rsidRDefault="00341FFF" w:rsidP="00696B6A">
            <w:pPr>
              <w:pStyle w:val="Sinespaciado"/>
              <w:ind w:left="27"/>
              <w:jc w:val="both"/>
              <w:rPr>
                <w:rFonts w:ascii="Verdana" w:eastAsia="Calibri" w:hAnsi="Verdana" w:cs="Arial"/>
                <w:lang w:val="es-MX"/>
              </w:rPr>
            </w:pPr>
            <w:r w:rsidRPr="006B179E">
              <w:rPr>
                <w:rFonts w:ascii="Verdana" w:eastAsia="Calibri" w:hAnsi="Verdana" w:cs="Arial"/>
                <w:noProof/>
              </w:rPr>
              <w:lastRenderedPageBreak/>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6B179E">
              <w:rPr>
                <w:rFonts w:ascii="Verdana" w:hAnsi="Verdana" w:cs="Arial"/>
                <w:b/>
                <w:bCs/>
              </w:rPr>
              <w:t>d)</w:t>
            </w:r>
            <w:r w:rsidRPr="006B179E">
              <w:rPr>
                <w:rFonts w:ascii="Verdana" w:hAnsi="Verdana" w:cs="Arial"/>
              </w:rPr>
              <w:t xml:space="preserve"> Cuando las pruebas solicitadas por las partes sean impertinentes, inconducentes o inútiles.</w:t>
            </w:r>
          </w:p>
          <w:p w14:paraId="1E6FAE60" w14:textId="77777777" w:rsidR="002F6A16" w:rsidRPr="006B179E" w:rsidRDefault="002F6A16" w:rsidP="00696B6A">
            <w:pPr>
              <w:pStyle w:val="Sinespaciado"/>
              <w:jc w:val="both"/>
              <w:rPr>
                <w:rFonts w:ascii="Verdana" w:eastAsia="Calibri" w:hAnsi="Verdana" w:cs="Arial"/>
                <w:lang w:val="es-MX"/>
              </w:rPr>
            </w:pPr>
          </w:p>
          <w:p w14:paraId="3D814DA0" w14:textId="77777777" w:rsidR="00341FFF" w:rsidRPr="006B179E" w:rsidRDefault="00341FFF" w:rsidP="00696B6A">
            <w:pPr>
              <w:pStyle w:val="Sinespaciado"/>
              <w:jc w:val="both"/>
              <w:rPr>
                <w:rFonts w:ascii="Verdana" w:eastAsia="Calibri" w:hAnsi="Verdana" w:cs="Arial"/>
                <w:lang w:val="es-MX"/>
              </w:rPr>
            </w:pPr>
            <w:r w:rsidRPr="006B179E">
              <w:rPr>
                <w:rFonts w:ascii="Verdana" w:eastAsia="Calibri" w:hAnsi="Verdana" w:cs="Arial"/>
                <w:lang w:val="es-MX"/>
              </w:rPr>
              <w:t xml:space="preserve">Cuando se verifique que procede la sentencia anticipada por alguno de los casos antes descritos, el juez o magistrado ponente debe: </w:t>
            </w:r>
          </w:p>
          <w:p w14:paraId="248BC82C" w14:textId="77777777" w:rsidR="00341FFF" w:rsidRPr="006B179E" w:rsidRDefault="00341FFF" w:rsidP="00696B6A">
            <w:pPr>
              <w:pStyle w:val="Sinespaciado"/>
              <w:jc w:val="both"/>
              <w:rPr>
                <w:rFonts w:ascii="Verdana" w:eastAsia="Calibri" w:hAnsi="Verdana" w:cs="Arial"/>
                <w:lang w:val="es-MX"/>
              </w:rPr>
            </w:pPr>
          </w:p>
          <w:p w14:paraId="218AF9AE" w14:textId="5AD95E20" w:rsidR="00407892" w:rsidRPr="006B179E" w:rsidRDefault="00341FFF" w:rsidP="00696B6A">
            <w:pPr>
              <w:pStyle w:val="Sinespaciado"/>
              <w:numPr>
                <w:ilvl w:val="0"/>
                <w:numId w:val="12"/>
              </w:numPr>
              <w:ind w:left="453"/>
              <w:jc w:val="both"/>
              <w:rPr>
                <w:rFonts w:ascii="Verdana" w:eastAsia="Calibri" w:hAnsi="Verdana" w:cs="Arial"/>
                <w:lang w:val="es-MX"/>
              </w:rPr>
            </w:pPr>
            <w:r w:rsidRPr="006B179E">
              <w:rPr>
                <w:rFonts w:ascii="Verdana" w:eastAsia="Calibri" w:hAnsi="Verdana" w:cs="Arial"/>
                <w:lang w:val="es-MX"/>
              </w:rPr>
              <w:t xml:space="preserve">Proferir auto donde debe pronunciarse sobre las pruebas cuando a ello hubiere lugar, aplicando el artículo 173 del CGP. </w:t>
            </w:r>
          </w:p>
          <w:p w14:paraId="6B995CCD" w14:textId="0B021892" w:rsidR="00341FFF" w:rsidRPr="00696B6A" w:rsidRDefault="00341FFF" w:rsidP="00696B6A">
            <w:pPr>
              <w:pStyle w:val="Sinespaciado"/>
              <w:numPr>
                <w:ilvl w:val="0"/>
                <w:numId w:val="12"/>
              </w:numPr>
              <w:ind w:left="453"/>
              <w:jc w:val="both"/>
              <w:rPr>
                <w:rFonts w:ascii="Verdana" w:eastAsia="Calibri" w:hAnsi="Verdana" w:cs="Arial"/>
                <w:b/>
                <w:bCs/>
                <w:lang w:val="es-MX"/>
              </w:rPr>
            </w:pPr>
            <w:r w:rsidRPr="006B179E">
              <w:rPr>
                <w:rFonts w:ascii="Verdana" w:eastAsia="Calibri" w:hAnsi="Verdana" w:cs="Arial"/>
                <w:lang w:val="es-MX"/>
              </w:rPr>
              <w:t xml:space="preserve">En la misma providencia debe fijar el litigio u objeto de la controversia. </w:t>
            </w:r>
            <w:r w:rsidR="00696B6A">
              <w:rPr>
                <w:rFonts w:ascii="Verdana" w:eastAsia="Calibri" w:hAnsi="Verdana" w:cs="Arial"/>
                <w:lang w:val="es-MX"/>
              </w:rPr>
              <w:t>En consecuencia, se procedió a fijar el litigio.</w:t>
            </w:r>
          </w:p>
          <w:p w14:paraId="758A2772" w14:textId="77777777" w:rsidR="00D75A67" w:rsidRPr="006B179E" w:rsidRDefault="00D75A67" w:rsidP="00696B6A">
            <w:pPr>
              <w:pStyle w:val="Sinespaciado"/>
              <w:jc w:val="both"/>
              <w:rPr>
                <w:rFonts w:ascii="Verdana" w:eastAsia="Calibri" w:hAnsi="Verdana" w:cs="Arial"/>
                <w:lang w:val="es-MX"/>
              </w:rPr>
            </w:pPr>
          </w:p>
          <w:p w14:paraId="50182DBC" w14:textId="77777777" w:rsidR="00D75A67" w:rsidRPr="006B179E" w:rsidRDefault="00D75A67" w:rsidP="00696B6A">
            <w:pPr>
              <w:pStyle w:val="Sinespaciado"/>
              <w:jc w:val="both"/>
              <w:rPr>
                <w:rFonts w:ascii="Verdana" w:eastAsia="Calibri" w:hAnsi="Verdana" w:cs="Arial"/>
                <w:lang w:val="es-MX"/>
              </w:rPr>
            </w:pPr>
            <w:r w:rsidRPr="006B179E">
              <w:rPr>
                <w:rFonts w:ascii="Verdana" w:eastAsia="Calibri" w:hAnsi="Verdana" w:cs="Arial"/>
                <w:lang w:val="es-MX"/>
              </w:rPr>
              <w:t xml:space="preserve">En firme las decisiones antes señaladas, se debe: </w:t>
            </w:r>
          </w:p>
          <w:p w14:paraId="4A9F5FBC" w14:textId="77777777" w:rsidR="00D75A67" w:rsidRPr="006B179E" w:rsidRDefault="00D75A67" w:rsidP="00696B6A">
            <w:pPr>
              <w:pStyle w:val="Sinespaciado"/>
              <w:jc w:val="both"/>
              <w:rPr>
                <w:rFonts w:ascii="Verdana" w:eastAsia="Calibri" w:hAnsi="Verdana" w:cs="Arial"/>
                <w:lang w:val="es-MX"/>
              </w:rPr>
            </w:pPr>
          </w:p>
          <w:p w14:paraId="5F28925A" w14:textId="77777777" w:rsidR="00D75A67" w:rsidRPr="006B179E" w:rsidRDefault="00D75A67" w:rsidP="00696B6A">
            <w:pPr>
              <w:pStyle w:val="Sinespaciado"/>
              <w:numPr>
                <w:ilvl w:val="0"/>
                <w:numId w:val="12"/>
              </w:numPr>
              <w:ind w:left="453"/>
              <w:jc w:val="both"/>
              <w:rPr>
                <w:rFonts w:ascii="Verdana" w:eastAsia="Calibri" w:hAnsi="Verdana" w:cs="Arial"/>
                <w:lang w:val="es-MX"/>
              </w:rPr>
            </w:pPr>
            <w:r w:rsidRPr="006B179E">
              <w:rPr>
                <w:rFonts w:ascii="Verdana" w:eastAsia="Calibri" w:hAnsi="Verdana" w:cs="Arial"/>
                <w:lang w:val="es-MX"/>
              </w:rPr>
              <w:t xml:space="preserve">Correr traslado para alegar de conclusión en la forma prevista en el inciso final del artículo 181 del CPACA, y, </w:t>
            </w:r>
          </w:p>
          <w:p w14:paraId="3283657B" w14:textId="77777777" w:rsidR="00DE6DCB" w:rsidRPr="006B179E" w:rsidRDefault="00DE6DCB" w:rsidP="00696B6A">
            <w:pPr>
              <w:pStyle w:val="Sinespaciado"/>
              <w:ind w:left="453"/>
              <w:jc w:val="both"/>
              <w:rPr>
                <w:rFonts w:ascii="Verdana" w:eastAsia="Calibri" w:hAnsi="Verdana" w:cs="Arial"/>
                <w:lang w:val="es-MX"/>
              </w:rPr>
            </w:pPr>
          </w:p>
          <w:p w14:paraId="75D8F0E7" w14:textId="1063FCBB" w:rsidR="00D75A67" w:rsidRPr="006B179E" w:rsidRDefault="00D75A67" w:rsidP="00696B6A">
            <w:pPr>
              <w:pStyle w:val="Sinespaciado"/>
              <w:numPr>
                <w:ilvl w:val="0"/>
                <w:numId w:val="12"/>
              </w:numPr>
              <w:ind w:left="453"/>
              <w:jc w:val="both"/>
              <w:rPr>
                <w:rFonts w:ascii="Verdana" w:eastAsia="Calibri" w:hAnsi="Verdana" w:cs="Arial"/>
                <w:lang w:val="es-MX"/>
              </w:rPr>
            </w:pPr>
            <w:r w:rsidRPr="006B179E">
              <w:rPr>
                <w:rFonts w:ascii="Verdana" w:eastAsia="Calibri" w:hAnsi="Verdana" w:cs="Arial"/>
                <w:lang w:val="es-MX"/>
              </w:rPr>
              <w:t>En la providencia que así lo ordene, debe indicar</w:t>
            </w:r>
            <w:r w:rsidR="00696B6A">
              <w:rPr>
                <w:rFonts w:ascii="Verdana" w:eastAsia="Calibri" w:hAnsi="Verdana" w:cs="Arial"/>
                <w:lang w:val="es-MX"/>
              </w:rPr>
              <w:t>se</w:t>
            </w:r>
            <w:r w:rsidRPr="006B179E">
              <w:rPr>
                <w:rFonts w:ascii="Verdana" w:eastAsia="Calibri" w:hAnsi="Verdana" w:cs="Arial"/>
                <w:lang w:val="es-MX"/>
              </w:rPr>
              <w:t xml:space="preserve"> la razón, o razones por la cual</w:t>
            </w:r>
            <w:r w:rsidR="00696B6A">
              <w:rPr>
                <w:rFonts w:ascii="Verdana" w:eastAsia="Calibri" w:hAnsi="Verdana" w:cs="Arial"/>
                <w:lang w:val="es-MX"/>
              </w:rPr>
              <w:t xml:space="preserve"> (o por las cuales)</w:t>
            </w:r>
            <w:r w:rsidRPr="006B179E">
              <w:rPr>
                <w:rFonts w:ascii="Verdana" w:eastAsia="Calibri" w:hAnsi="Verdana" w:cs="Arial"/>
                <w:lang w:val="es-MX"/>
              </w:rPr>
              <w:t xml:space="preserve"> se dictará sentencia anticipada, la cual se expedirá por escrito</w:t>
            </w:r>
            <w:r w:rsidR="00A62E46" w:rsidRPr="006B179E">
              <w:rPr>
                <w:rFonts w:ascii="Verdana" w:eastAsia="Calibri" w:hAnsi="Verdana" w:cs="Arial"/>
                <w:lang w:val="es-MX"/>
              </w:rPr>
              <w:t xml:space="preserve"> posteriormente. </w:t>
            </w:r>
            <w:r w:rsidRPr="006B179E">
              <w:rPr>
                <w:rFonts w:ascii="Verdana" w:eastAsia="Calibri" w:hAnsi="Verdana" w:cs="Arial"/>
                <w:lang w:val="es-MX"/>
              </w:rPr>
              <w:t xml:space="preserve"> </w:t>
            </w:r>
          </w:p>
          <w:p w14:paraId="1E9ECA3A" w14:textId="77777777" w:rsidR="00DE6DCB" w:rsidRPr="006B179E" w:rsidRDefault="00DE6DCB" w:rsidP="00696B6A">
            <w:pPr>
              <w:pStyle w:val="Sinespaciado"/>
              <w:ind w:left="453"/>
              <w:jc w:val="both"/>
              <w:rPr>
                <w:rFonts w:ascii="Verdana" w:eastAsia="Calibri" w:hAnsi="Verdana" w:cs="Arial"/>
                <w:lang w:val="es-MX"/>
              </w:rPr>
            </w:pPr>
          </w:p>
          <w:p w14:paraId="4CC0D3BC" w14:textId="77777777" w:rsidR="005C690E" w:rsidRPr="006B179E" w:rsidRDefault="005C690E" w:rsidP="00696B6A">
            <w:pPr>
              <w:pStyle w:val="Sinespaciado"/>
              <w:numPr>
                <w:ilvl w:val="0"/>
                <w:numId w:val="12"/>
              </w:numPr>
              <w:ind w:left="453"/>
              <w:jc w:val="both"/>
              <w:rPr>
                <w:rFonts w:ascii="Verdana" w:eastAsia="Calibri" w:hAnsi="Verdana" w:cs="Arial"/>
                <w:lang w:val="es-MX"/>
              </w:rPr>
            </w:pPr>
            <w:r w:rsidRPr="006B179E">
              <w:rPr>
                <w:rFonts w:ascii="Verdana" w:eastAsia="Calibri" w:hAnsi="Verdana"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6B179E" w:rsidRDefault="004430DA" w:rsidP="00696B6A">
            <w:pPr>
              <w:pStyle w:val="Sinespaciado"/>
              <w:ind w:left="453"/>
              <w:jc w:val="both"/>
              <w:rPr>
                <w:rFonts w:ascii="Verdana" w:eastAsia="Calibri" w:hAnsi="Verdana" w:cs="Arial"/>
                <w:lang w:val="es-MX"/>
              </w:rPr>
            </w:pPr>
          </w:p>
          <w:p w14:paraId="1AA2998E" w14:textId="66E35824" w:rsidR="00A461DF" w:rsidRDefault="00CF03D9" w:rsidP="00696B6A">
            <w:pPr>
              <w:pStyle w:val="Sinespaciado"/>
              <w:jc w:val="both"/>
              <w:rPr>
                <w:rFonts w:ascii="Verdana" w:eastAsia="Calibri" w:hAnsi="Verdana" w:cs="Arial"/>
                <w:b/>
                <w:lang w:val="es-MX"/>
              </w:rPr>
            </w:pPr>
            <w:r w:rsidRPr="006B179E">
              <w:rPr>
                <w:rFonts w:ascii="Verdana" w:eastAsia="Calibri" w:hAnsi="Verdana" w:cs="Arial"/>
                <w:b/>
                <w:lang w:val="es-MX"/>
              </w:rPr>
              <w:t>Nota</w:t>
            </w:r>
            <w:r w:rsidR="00D747D0" w:rsidRPr="006B179E">
              <w:rPr>
                <w:rFonts w:ascii="Verdana" w:eastAsia="Calibri" w:hAnsi="Verdana" w:cs="Arial"/>
                <w:b/>
                <w:lang w:val="es-MX"/>
              </w:rPr>
              <w:t xml:space="preserve">: </w:t>
            </w:r>
          </w:p>
          <w:p w14:paraId="3AB93E7C" w14:textId="77777777" w:rsidR="00696B6A" w:rsidRPr="006B179E" w:rsidRDefault="00696B6A" w:rsidP="00696B6A">
            <w:pPr>
              <w:pStyle w:val="Sinespaciado"/>
              <w:jc w:val="both"/>
              <w:rPr>
                <w:rFonts w:ascii="Verdana" w:eastAsia="Calibri" w:hAnsi="Verdana" w:cs="Arial"/>
                <w:b/>
                <w:lang w:val="es-MX"/>
              </w:rPr>
            </w:pPr>
          </w:p>
          <w:p w14:paraId="0BC2C4E3" w14:textId="5B5D6033" w:rsidR="00A461DF" w:rsidRDefault="002E526E" w:rsidP="00696B6A">
            <w:pPr>
              <w:spacing w:after="0" w:line="240" w:lineRule="auto"/>
              <w:jc w:val="both"/>
              <w:rPr>
                <w:rFonts w:ascii="Verdana" w:eastAsia="Calibri" w:hAnsi="Verdana" w:cs="Arial"/>
                <w:lang w:val="es-MX"/>
              </w:rPr>
            </w:pPr>
            <w:r w:rsidRPr="006B179E">
              <w:rPr>
                <w:rFonts w:ascii="Verdana" w:eastAsia="Calibri" w:hAnsi="Verdana" w:cs="Arial"/>
                <w:lang w:val="es-MX"/>
              </w:rPr>
              <w:t>El traslado para alegar puede disponerse en una providencia posterior y diferente de la que se pronuncia sobre las pruebas y fija el litigio, o también puede decretarse en esta última, ordenándole a la respectiva Secretaría que</w:t>
            </w:r>
            <w:r w:rsidR="00696B6A">
              <w:rPr>
                <w:rFonts w:ascii="Verdana" w:eastAsia="Calibri" w:hAnsi="Verdana" w:cs="Arial"/>
                <w:lang w:val="es-MX"/>
              </w:rPr>
              <w:t>,</w:t>
            </w:r>
            <w:r w:rsidRPr="006B179E">
              <w:rPr>
                <w:rFonts w:ascii="Verdana" w:eastAsia="Calibri" w:hAnsi="Verdana" w:cs="Arial"/>
                <w:lang w:val="es-MX"/>
              </w:rPr>
              <w:t xml:space="preserve"> una vez en firme el pronunciamiento sobre las pruebas y la fijación del litigio, porque no se presentaron recursos, sin necesidad de una nueva providencia, corra a las partes el respectivo traslado para alegar. (Ver </w:t>
            </w:r>
            <w:r w:rsidR="00696B6A">
              <w:rPr>
                <w:rFonts w:ascii="Verdana" w:eastAsia="Calibri" w:hAnsi="Verdana" w:cs="Arial"/>
                <w:lang w:val="es-MX"/>
              </w:rPr>
              <w:t xml:space="preserve">la siguiente </w:t>
            </w:r>
            <w:r w:rsidRPr="006B179E">
              <w:rPr>
                <w:rFonts w:ascii="Verdana" w:eastAsia="Calibri" w:hAnsi="Verdana" w:cs="Arial"/>
                <w:lang w:val="es-MX"/>
              </w:rPr>
              <w:t>providencia</w:t>
            </w:r>
            <w:r w:rsidR="00696B6A">
              <w:rPr>
                <w:rFonts w:ascii="Verdana" w:eastAsia="Calibri" w:hAnsi="Verdana" w:cs="Arial"/>
                <w:lang w:val="es-MX"/>
              </w:rPr>
              <w:t xml:space="preserve">: Consejo de Estado, </w:t>
            </w:r>
            <w:r w:rsidRPr="006B179E">
              <w:rPr>
                <w:rFonts w:ascii="Verdana" w:eastAsia="Calibri" w:hAnsi="Verdana" w:cs="Arial"/>
                <w:lang w:val="es-MX"/>
              </w:rPr>
              <w:t xml:space="preserve">Sección </w:t>
            </w:r>
            <w:r w:rsidR="00696B6A" w:rsidRPr="006B179E">
              <w:rPr>
                <w:rFonts w:ascii="Verdana" w:eastAsia="Calibri" w:hAnsi="Verdana" w:cs="Arial"/>
                <w:lang w:val="es-MX"/>
              </w:rPr>
              <w:t>Segunda</w:t>
            </w:r>
            <w:r w:rsidR="00696B6A">
              <w:rPr>
                <w:rFonts w:ascii="Verdana" w:eastAsia="Calibri" w:hAnsi="Verdana" w:cs="Arial"/>
                <w:lang w:val="es-MX"/>
              </w:rPr>
              <w:t>, Subsección</w:t>
            </w:r>
            <w:r w:rsidRPr="006B179E">
              <w:rPr>
                <w:rFonts w:ascii="Verdana" w:eastAsia="Calibri" w:hAnsi="Verdana" w:cs="Arial"/>
                <w:lang w:val="es-MX"/>
              </w:rPr>
              <w:t xml:space="preserve"> B</w:t>
            </w:r>
            <w:r w:rsidR="00696B6A">
              <w:rPr>
                <w:rFonts w:ascii="Verdana" w:eastAsia="Calibri" w:hAnsi="Verdana" w:cs="Arial"/>
                <w:lang w:val="es-MX"/>
              </w:rPr>
              <w:t xml:space="preserve">, </w:t>
            </w:r>
            <w:r w:rsidRPr="006B179E">
              <w:rPr>
                <w:rFonts w:ascii="Verdana" w:eastAsia="Calibri" w:hAnsi="Verdana" w:cs="Arial"/>
                <w:lang w:val="es-MX"/>
              </w:rPr>
              <w:t>21 de junio de</w:t>
            </w:r>
            <w:r w:rsidR="00696B6A">
              <w:rPr>
                <w:rFonts w:ascii="Verdana" w:eastAsia="Calibri" w:hAnsi="Verdana" w:cs="Arial"/>
                <w:lang w:val="es-MX"/>
              </w:rPr>
              <w:t xml:space="preserve"> </w:t>
            </w:r>
            <w:r w:rsidRPr="006B179E">
              <w:rPr>
                <w:rFonts w:ascii="Verdana" w:eastAsia="Calibri" w:hAnsi="Verdana" w:cs="Arial"/>
                <w:lang w:val="es-MX"/>
              </w:rPr>
              <w:t>2021</w:t>
            </w:r>
            <w:r w:rsidR="00696B6A">
              <w:rPr>
                <w:rFonts w:ascii="Verdana" w:eastAsia="Calibri" w:hAnsi="Verdana" w:cs="Arial"/>
                <w:lang w:val="es-MX"/>
              </w:rPr>
              <w:t>, referencia</w:t>
            </w:r>
            <w:r w:rsidR="00591BD3" w:rsidRPr="006B179E">
              <w:rPr>
                <w:rFonts w:ascii="Verdana" w:eastAsia="Calibri" w:hAnsi="Verdana" w:cs="Arial"/>
                <w:lang w:val="es-MX"/>
              </w:rPr>
              <w:t xml:space="preserve">: </w:t>
            </w:r>
            <w:r w:rsidRPr="006B179E">
              <w:rPr>
                <w:rFonts w:ascii="Verdana" w:eastAsia="Calibri" w:hAnsi="Verdana" w:cs="Arial"/>
                <w:lang w:val="es-MX"/>
              </w:rPr>
              <w:t xml:space="preserve">11001032500020180079100 (3026-2018). </w:t>
            </w:r>
          </w:p>
          <w:p w14:paraId="2840603E" w14:textId="77777777" w:rsidR="002F118C" w:rsidRPr="006B179E" w:rsidRDefault="002F118C" w:rsidP="00696B6A">
            <w:pPr>
              <w:spacing w:after="0" w:line="240" w:lineRule="auto"/>
              <w:jc w:val="both"/>
              <w:rPr>
                <w:rFonts w:ascii="Verdana" w:eastAsia="Calibri" w:hAnsi="Verdana" w:cs="Arial"/>
                <w:lang w:val="es-MX"/>
              </w:rPr>
            </w:pPr>
          </w:p>
          <w:p w14:paraId="790C61F1" w14:textId="2C535D84" w:rsidR="00731A3D" w:rsidRDefault="002F118C" w:rsidP="00696B6A">
            <w:pPr>
              <w:spacing w:after="0" w:line="240" w:lineRule="auto"/>
              <w:jc w:val="both"/>
              <w:rPr>
                <w:rFonts w:ascii="Verdana" w:eastAsia="Calibri" w:hAnsi="Verdana" w:cs="Arial"/>
                <w:b/>
                <w:bCs/>
                <w:lang w:val="es-MX"/>
              </w:rPr>
            </w:pPr>
            <w:r>
              <w:rPr>
                <w:rFonts w:ascii="Verdana" w:eastAsia="Calibri" w:hAnsi="Verdana" w:cs="Arial"/>
                <w:b/>
                <w:bCs/>
                <w:lang w:val="es-MX"/>
              </w:rPr>
              <w:t>Teniendo en cuenta lo anterior,</w:t>
            </w:r>
            <w:r w:rsidR="00731A3D" w:rsidRPr="006B179E">
              <w:rPr>
                <w:rFonts w:ascii="Verdana" w:eastAsia="Calibri" w:hAnsi="Verdana" w:cs="Arial"/>
                <w:b/>
                <w:bCs/>
                <w:lang w:val="es-MX"/>
              </w:rPr>
              <w:t xml:space="preserve"> </w:t>
            </w:r>
            <w:r>
              <w:rPr>
                <w:rFonts w:ascii="Verdana" w:eastAsia="Calibri" w:hAnsi="Verdana" w:cs="Arial"/>
                <w:b/>
                <w:bCs/>
                <w:lang w:val="es-MX"/>
              </w:rPr>
              <w:t xml:space="preserve">se procedió a fijar el litigió </w:t>
            </w:r>
            <w:r w:rsidR="00731A3D" w:rsidRPr="006B179E">
              <w:rPr>
                <w:rFonts w:ascii="Verdana" w:eastAsia="Calibri" w:hAnsi="Verdana" w:cs="Arial"/>
                <w:b/>
                <w:bCs/>
                <w:lang w:val="es-MX"/>
              </w:rPr>
              <w:t xml:space="preserve">Y </w:t>
            </w:r>
            <w:r>
              <w:rPr>
                <w:rFonts w:ascii="Verdana" w:eastAsia="Calibri" w:hAnsi="Verdana" w:cs="Arial"/>
                <w:b/>
                <w:bCs/>
                <w:lang w:val="es-MX"/>
              </w:rPr>
              <w:t>se corrió traslado para alegatos de conclusión</w:t>
            </w:r>
            <w:r w:rsidR="00731A3D" w:rsidRPr="006B179E">
              <w:rPr>
                <w:rFonts w:ascii="Verdana" w:eastAsia="Calibri" w:hAnsi="Verdana" w:cs="Arial"/>
                <w:b/>
                <w:bCs/>
                <w:lang w:val="es-MX"/>
              </w:rPr>
              <w:t xml:space="preserve">. </w:t>
            </w:r>
          </w:p>
          <w:p w14:paraId="6AE9A005" w14:textId="48B8EA96" w:rsidR="002F118C" w:rsidRPr="006B179E" w:rsidRDefault="002F118C" w:rsidP="00696B6A">
            <w:pPr>
              <w:spacing w:after="0" w:line="240" w:lineRule="auto"/>
              <w:jc w:val="both"/>
              <w:rPr>
                <w:rFonts w:ascii="Verdana" w:eastAsia="Calibri" w:hAnsi="Verdana" w:cs="Arial"/>
                <w:b/>
                <w:bCs/>
                <w:lang w:val="es-MX"/>
              </w:rPr>
            </w:pPr>
          </w:p>
        </w:tc>
      </w:tr>
      <w:tr w:rsidR="00CC64F1" w:rsidRPr="006B179E" w14:paraId="6C3AE0C2" w14:textId="77777777" w:rsidTr="00CC64F1">
        <w:trPr>
          <w:trHeight w:val="363"/>
        </w:trPr>
        <w:tc>
          <w:tcPr>
            <w:tcW w:w="9598" w:type="dxa"/>
          </w:tcPr>
          <w:p w14:paraId="43189439" w14:textId="3055ABB2" w:rsidR="00CC64F1" w:rsidRPr="006B179E" w:rsidRDefault="002F118C" w:rsidP="002F118C">
            <w:pPr>
              <w:pStyle w:val="Sinespaciado"/>
              <w:jc w:val="both"/>
              <w:rPr>
                <w:rFonts w:ascii="Verdana" w:eastAsia="Calibri" w:hAnsi="Verdana" w:cs="Arial"/>
                <w:b/>
                <w:lang w:val="es-MX"/>
              </w:rPr>
            </w:pPr>
            <w:r>
              <w:rPr>
                <w:rFonts w:ascii="Verdana" w:eastAsia="Calibri" w:hAnsi="Verdana" w:cs="Arial"/>
                <w:b/>
                <w:lang w:val="es-MX"/>
              </w:rPr>
              <w:lastRenderedPageBreak/>
              <w:t xml:space="preserve">2. </w:t>
            </w:r>
            <w:r w:rsidR="00F87F52" w:rsidRPr="006B179E">
              <w:rPr>
                <w:rFonts w:ascii="Verdana" w:eastAsia="Calibri" w:hAnsi="Verdana" w:cs="Arial"/>
                <w:b/>
                <w:lang w:val="es-MX"/>
              </w:rPr>
              <w:t xml:space="preserve">SENTENCIA ANTICIPADA EN CUALQUIER ESTADO DEL PROCESO, CUANDO LAS PARTES O SUS APODERADOS DE COMÚN ACUERDO LO SOLICITEN, SEA POR INICIATIVA PROPIA O POR SUGERENCIA DEL JUEZ </w:t>
            </w:r>
          </w:p>
          <w:p w14:paraId="20FB26FA" w14:textId="77777777" w:rsidR="00926ADA" w:rsidRPr="006B179E" w:rsidRDefault="00926ADA" w:rsidP="00696B6A">
            <w:pPr>
              <w:pStyle w:val="Sinespaciado"/>
              <w:jc w:val="both"/>
              <w:rPr>
                <w:rFonts w:ascii="Verdana" w:eastAsia="Calibri" w:hAnsi="Verdana" w:cs="Arial"/>
                <w:b/>
                <w:lang w:val="es-MX"/>
              </w:rPr>
            </w:pPr>
          </w:p>
          <w:p w14:paraId="5E12F73F" w14:textId="77777777" w:rsidR="00F87F52" w:rsidRPr="006B179E" w:rsidRDefault="00F87F52" w:rsidP="00696B6A">
            <w:pPr>
              <w:pStyle w:val="Sinespaciado"/>
              <w:jc w:val="both"/>
              <w:rPr>
                <w:rFonts w:ascii="Verdana" w:eastAsia="Calibri" w:hAnsi="Verdana" w:cs="Arial"/>
                <w:lang w:val="es-MX"/>
              </w:rPr>
            </w:pPr>
            <w:r w:rsidRPr="006B179E">
              <w:rPr>
                <w:rFonts w:ascii="Verdana" w:eastAsia="Calibri" w:hAnsi="Verdana" w:cs="Arial"/>
                <w:lang w:val="es-MX"/>
              </w:rPr>
              <w:t>(Numeral 2° del artículo 182</w:t>
            </w:r>
            <w:r w:rsidR="00C5649B" w:rsidRPr="006B179E">
              <w:rPr>
                <w:rFonts w:ascii="Verdana" w:eastAsia="Calibri" w:hAnsi="Verdana" w:cs="Arial"/>
                <w:lang w:val="es-MX"/>
              </w:rPr>
              <w:t>A</w:t>
            </w:r>
            <w:r w:rsidRPr="006B179E">
              <w:rPr>
                <w:rFonts w:ascii="Verdana" w:eastAsia="Calibri" w:hAnsi="Verdana" w:cs="Arial"/>
                <w:lang w:val="es-MX"/>
              </w:rPr>
              <w:t xml:space="preserve"> del CPACA)</w:t>
            </w:r>
          </w:p>
          <w:p w14:paraId="18A40F18" w14:textId="77777777" w:rsidR="00F87F52" w:rsidRPr="006B179E" w:rsidRDefault="00F87F52" w:rsidP="00696B6A">
            <w:pPr>
              <w:pStyle w:val="Sinespaciado"/>
              <w:jc w:val="both"/>
              <w:rPr>
                <w:rFonts w:ascii="Verdana" w:eastAsia="Calibri" w:hAnsi="Verdana" w:cs="Arial"/>
                <w:lang w:val="es-MX"/>
              </w:rPr>
            </w:pPr>
          </w:p>
          <w:p w14:paraId="68E3D213" w14:textId="77777777" w:rsidR="00F87F52" w:rsidRPr="006B179E" w:rsidRDefault="00F87F52" w:rsidP="00696B6A">
            <w:pPr>
              <w:pStyle w:val="Sinespaciado"/>
              <w:jc w:val="both"/>
              <w:rPr>
                <w:rFonts w:ascii="Verdana" w:eastAsia="Calibri" w:hAnsi="Verdana" w:cs="Arial"/>
                <w:lang w:val="es-MX"/>
              </w:rPr>
            </w:pPr>
          </w:p>
          <w:p w14:paraId="06FF1240" w14:textId="0C649E60" w:rsidR="00926ADA" w:rsidRPr="006B179E" w:rsidRDefault="00DE6DCB" w:rsidP="00696B6A">
            <w:pPr>
              <w:pStyle w:val="Sinespaciado"/>
              <w:jc w:val="both"/>
              <w:rPr>
                <w:rFonts w:ascii="Verdana" w:eastAsia="Calibri" w:hAnsi="Verdana" w:cs="Arial"/>
                <w:lang w:val="es-MX"/>
              </w:rPr>
            </w:pPr>
            <w:r w:rsidRPr="006B179E">
              <w:rPr>
                <w:rFonts w:ascii="Verdana" w:eastAsia="Calibri" w:hAnsi="Verdana" w:cs="Arial"/>
                <w:lang w:val="es-MX"/>
              </w:rPr>
              <w:lastRenderedPageBreak/>
              <w:t>Analizar las siguientes situaciones</w:t>
            </w:r>
            <w:r w:rsidR="005D343D" w:rsidRPr="006B179E">
              <w:rPr>
                <w:rFonts w:ascii="Verdana" w:eastAsia="Calibri" w:hAnsi="Verdana" w:cs="Arial"/>
                <w:lang w:val="es-MX"/>
              </w:rPr>
              <w:t xml:space="preserve"> y proferir las decisiones que corresponde</w:t>
            </w:r>
            <w:r w:rsidR="002F118C">
              <w:rPr>
                <w:rFonts w:ascii="Verdana" w:eastAsia="Calibri" w:hAnsi="Verdana" w:cs="Arial"/>
                <w:lang w:val="es-MX"/>
              </w:rPr>
              <w:t>n</w:t>
            </w:r>
            <w:r w:rsidRPr="006B179E">
              <w:rPr>
                <w:rFonts w:ascii="Verdana" w:eastAsia="Calibri" w:hAnsi="Verdana" w:cs="Arial"/>
                <w:lang w:val="es-MX"/>
              </w:rPr>
              <w:t xml:space="preserve">: </w:t>
            </w:r>
          </w:p>
          <w:p w14:paraId="026BD195" w14:textId="77777777" w:rsidR="00DE6DCB" w:rsidRPr="006B179E" w:rsidRDefault="00DE6DCB" w:rsidP="00696B6A">
            <w:pPr>
              <w:pStyle w:val="Sinespaciado"/>
              <w:jc w:val="both"/>
              <w:rPr>
                <w:rFonts w:ascii="Verdana" w:eastAsia="Calibri" w:hAnsi="Verdana" w:cs="Arial"/>
                <w:lang w:val="es-MX"/>
              </w:rPr>
            </w:pPr>
          </w:p>
          <w:p w14:paraId="7D53FAAC" w14:textId="77777777" w:rsidR="00DE6DCB" w:rsidRPr="006B179E" w:rsidRDefault="00DE6DCB" w:rsidP="002F118C">
            <w:pPr>
              <w:pStyle w:val="Sinespaciado"/>
              <w:numPr>
                <w:ilvl w:val="0"/>
                <w:numId w:val="14"/>
              </w:numPr>
              <w:ind w:left="453"/>
              <w:jc w:val="both"/>
              <w:rPr>
                <w:rFonts w:ascii="Verdana" w:hAnsi="Verdana" w:cs="Arial"/>
              </w:rPr>
            </w:pPr>
            <w:r w:rsidRPr="006B179E">
              <w:rPr>
                <w:rFonts w:ascii="Verdana" w:hAnsi="Verdana" w:cs="Arial"/>
              </w:rPr>
              <w:t>Si en el proceso intervienen litisconsortes necesarios, la petición deberá realizarse conjuntamente con estos;</w:t>
            </w:r>
          </w:p>
          <w:p w14:paraId="19C48583" w14:textId="77777777" w:rsidR="00DE6DCB" w:rsidRPr="006B179E" w:rsidRDefault="00DE6DCB" w:rsidP="002F118C">
            <w:pPr>
              <w:pStyle w:val="Sinespaciado"/>
              <w:ind w:left="453"/>
              <w:jc w:val="both"/>
              <w:rPr>
                <w:rFonts w:ascii="Verdana" w:hAnsi="Verdana" w:cs="Arial"/>
              </w:rPr>
            </w:pPr>
          </w:p>
          <w:p w14:paraId="2342A1B9" w14:textId="77777777" w:rsidR="00DE6DCB" w:rsidRPr="006B179E" w:rsidRDefault="00DE6DCB" w:rsidP="002F118C">
            <w:pPr>
              <w:pStyle w:val="Sinespaciado"/>
              <w:numPr>
                <w:ilvl w:val="0"/>
                <w:numId w:val="14"/>
              </w:numPr>
              <w:ind w:left="453"/>
              <w:jc w:val="both"/>
              <w:rPr>
                <w:rFonts w:ascii="Verdana" w:hAnsi="Verdana" w:cs="Arial"/>
              </w:rPr>
            </w:pPr>
            <w:r w:rsidRPr="006B179E">
              <w:rPr>
                <w:rFonts w:ascii="Verdana" w:hAnsi="Verdana" w:cs="Arial"/>
              </w:rPr>
              <w:t>Si la solicitud se presenta en el transcurso de una audiencia, se dará traslado para alegar dentro de ella y, surtido el traslado para alegar, se proferirá sentencia oral o escrita;</w:t>
            </w:r>
          </w:p>
          <w:p w14:paraId="4E42F359" w14:textId="77777777" w:rsidR="00DE6DCB" w:rsidRPr="006B179E" w:rsidRDefault="00DE6DCB" w:rsidP="002F118C">
            <w:pPr>
              <w:pStyle w:val="Sinespaciado"/>
              <w:ind w:left="453"/>
              <w:jc w:val="both"/>
              <w:rPr>
                <w:rFonts w:ascii="Verdana" w:hAnsi="Verdana" w:cs="Arial"/>
              </w:rPr>
            </w:pPr>
          </w:p>
          <w:p w14:paraId="797E7F8F" w14:textId="0B1C86D8" w:rsidR="00DE6DCB" w:rsidRPr="006B179E" w:rsidRDefault="00DE6DCB" w:rsidP="002F118C">
            <w:pPr>
              <w:pStyle w:val="Sinespaciado"/>
              <w:numPr>
                <w:ilvl w:val="0"/>
                <w:numId w:val="14"/>
              </w:numPr>
              <w:ind w:left="453"/>
              <w:jc w:val="both"/>
              <w:rPr>
                <w:rFonts w:ascii="Verdana" w:hAnsi="Verdana" w:cs="Arial"/>
              </w:rPr>
            </w:pPr>
            <w:r w:rsidRPr="006B179E">
              <w:rPr>
                <w:rFonts w:ascii="Verdana" w:hAnsi="Verdana" w:cs="Arial"/>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6B179E" w:rsidRDefault="00DE6DCB" w:rsidP="002F118C">
            <w:pPr>
              <w:pStyle w:val="Sinespaciado"/>
              <w:ind w:left="453"/>
              <w:jc w:val="both"/>
              <w:rPr>
                <w:rFonts w:ascii="Verdana" w:hAnsi="Verdana" w:cs="Arial"/>
              </w:rPr>
            </w:pPr>
          </w:p>
          <w:p w14:paraId="1CBDEE54" w14:textId="77777777" w:rsidR="00DE6DCB" w:rsidRPr="006B179E" w:rsidRDefault="00DE6DCB" w:rsidP="002F118C">
            <w:pPr>
              <w:pStyle w:val="Sinespaciado"/>
              <w:numPr>
                <w:ilvl w:val="0"/>
                <w:numId w:val="14"/>
              </w:numPr>
              <w:ind w:left="453"/>
              <w:jc w:val="both"/>
              <w:rPr>
                <w:rFonts w:ascii="Verdana" w:hAnsi="Verdana" w:cs="Arial"/>
              </w:rPr>
            </w:pPr>
            <w:r w:rsidRPr="006B179E">
              <w:rPr>
                <w:rFonts w:ascii="Verdana" w:hAnsi="Verdana" w:cs="Arial"/>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6B179E" w:rsidRDefault="00DE6DCB" w:rsidP="002F118C">
            <w:pPr>
              <w:pStyle w:val="Prrafodelista"/>
              <w:spacing w:after="0" w:line="240" w:lineRule="auto"/>
              <w:ind w:left="453"/>
              <w:jc w:val="both"/>
              <w:rPr>
                <w:rFonts w:ascii="Verdana" w:hAnsi="Verdana" w:cs="Arial"/>
              </w:rPr>
            </w:pPr>
          </w:p>
          <w:p w14:paraId="10F15ABB" w14:textId="77777777" w:rsidR="00DE6DCB" w:rsidRPr="006B179E" w:rsidRDefault="00DE6DCB" w:rsidP="002F118C">
            <w:pPr>
              <w:pStyle w:val="Sinespaciado"/>
              <w:numPr>
                <w:ilvl w:val="0"/>
                <w:numId w:val="14"/>
              </w:numPr>
              <w:ind w:left="453"/>
              <w:jc w:val="both"/>
              <w:rPr>
                <w:rFonts w:ascii="Verdana" w:hAnsi="Verdana" w:cs="Arial"/>
              </w:rPr>
            </w:pPr>
            <w:r w:rsidRPr="006B179E">
              <w:rPr>
                <w:rFonts w:ascii="Verdana" w:hAnsi="Verdana" w:cs="Arial"/>
              </w:rPr>
              <w:t>El juzgador rechazará la solicitud cuando advierta fraude o colusión</w:t>
            </w:r>
          </w:p>
          <w:p w14:paraId="16327EAB" w14:textId="77777777" w:rsidR="00CF03D9" w:rsidRPr="006B179E" w:rsidRDefault="00CF03D9" w:rsidP="00696B6A">
            <w:pPr>
              <w:pStyle w:val="Sinespaciado"/>
              <w:jc w:val="both"/>
              <w:rPr>
                <w:rFonts w:ascii="Verdana" w:eastAsia="Calibri" w:hAnsi="Verdana" w:cs="Arial"/>
                <w:lang w:val="es-MX"/>
              </w:rPr>
            </w:pPr>
          </w:p>
          <w:p w14:paraId="2A322B95" w14:textId="77777777" w:rsidR="00E42B7C" w:rsidRPr="006B179E" w:rsidRDefault="00E42B7C" w:rsidP="00696B6A">
            <w:pPr>
              <w:pStyle w:val="Sinespaciado"/>
              <w:jc w:val="both"/>
              <w:rPr>
                <w:rFonts w:ascii="Verdana" w:eastAsia="Calibri" w:hAnsi="Verdana" w:cs="Arial"/>
                <w:lang w:val="es-MX"/>
              </w:rPr>
            </w:pPr>
          </w:p>
          <w:p w14:paraId="61BEB537" w14:textId="77777777" w:rsidR="00FE72B8" w:rsidRPr="006B179E" w:rsidRDefault="00FE72B8" w:rsidP="00696B6A">
            <w:pPr>
              <w:pStyle w:val="Sinespaciado"/>
              <w:jc w:val="both"/>
              <w:rPr>
                <w:rFonts w:ascii="Verdana" w:eastAsia="Calibri" w:hAnsi="Verdana" w:cs="Arial"/>
                <w:lang w:val="es-MX"/>
              </w:rPr>
            </w:pPr>
          </w:p>
        </w:tc>
      </w:tr>
      <w:tr w:rsidR="00CC64F1" w:rsidRPr="006B179E" w14:paraId="73B2EAC0" w14:textId="77777777" w:rsidTr="00CC64F1">
        <w:trPr>
          <w:trHeight w:val="363"/>
        </w:trPr>
        <w:tc>
          <w:tcPr>
            <w:tcW w:w="9598" w:type="dxa"/>
          </w:tcPr>
          <w:p w14:paraId="29CD7441" w14:textId="52CBD5BF" w:rsidR="003B379B" w:rsidRPr="006B179E" w:rsidRDefault="002F118C" w:rsidP="002F118C">
            <w:pPr>
              <w:pStyle w:val="Sinespaciado"/>
              <w:jc w:val="both"/>
              <w:rPr>
                <w:rFonts w:ascii="Verdana" w:eastAsia="Calibri" w:hAnsi="Verdana" w:cs="Arial"/>
                <w:b/>
                <w:lang w:val="es-MX"/>
              </w:rPr>
            </w:pPr>
            <w:r>
              <w:rPr>
                <w:rFonts w:ascii="Verdana" w:eastAsia="Calibri" w:hAnsi="Verdana" w:cs="Arial"/>
                <w:b/>
                <w:lang w:val="es-MX"/>
              </w:rPr>
              <w:lastRenderedPageBreak/>
              <w:t xml:space="preserve">3. </w:t>
            </w:r>
            <w:r w:rsidR="00FE72B8" w:rsidRPr="006B179E">
              <w:rPr>
                <w:rFonts w:ascii="Verdana" w:eastAsia="Calibri" w:hAnsi="Verdana" w:cs="Arial"/>
                <w:b/>
                <w:lang w:val="es-MX"/>
              </w:rPr>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6B179E" w:rsidRDefault="005D343D" w:rsidP="00696B6A">
            <w:pPr>
              <w:pStyle w:val="Sinespaciado"/>
              <w:jc w:val="both"/>
              <w:rPr>
                <w:rFonts w:ascii="Verdana" w:eastAsia="Calibri" w:hAnsi="Verdana" w:cs="Arial"/>
                <w:lang w:val="es-MX"/>
              </w:rPr>
            </w:pPr>
          </w:p>
          <w:p w14:paraId="5766BD32" w14:textId="77777777" w:rsidR="005D343D" w:rsidRPr="006B179E" w:rsidRDefault="005D343D" w:rsidP="00696B6A">
            <w:pPr>
              <w:pStyle w:val="Sinespaciado"/>
              <w:jc w:val="both"/>
              <w:rPr>
                <w:rFonts w:ascii="Verdana" w:eastAsia="Calibri" w:hAnsi="Verdana" w:cs="Arial"/>
                <w:lang w:val="es-MX"/>
              </w:rPr>
            </w:pPr>
            <w:r w:rsidRPr="006B179E">
              <w:rPr>
                <w:rFonts w:ascii="Verdana" w:eastAsia="Calibri" w:hAnsi="Verdana" w:cs="Arial"/>
                <w:lang w:val="es-MX"/>
              </w:rPr>
              <w:t>(Numeral 3° del artículo 182</w:t>
            </w:r>
            <w:r w:rsidR="00C5649B" w:rsidRPr="006B179E">
              <w:rPr>
                <w:rFonts w:ascii="Verdana" w:eastAsia="Calibri" w:hAnsi="Verdana" w:cs="Arial"/>
                <w:lang w:val="es-MX"/>
              </w:rPr>
              <w:t>A</w:t>
            </w:r>
            <w:r w:rsidRPr="006B179E">
              <w:rPr>
                <w:rFonts w:ascii="Verdana" w:eastAsia="Calibri" w:hAnsi="Verdana" w:cs="Arial"/>
                <w:lang w:val="es-MX"/>
              </w:rPr>
              <w:t xml:space="preserve"> del CPACA)</w:t>
            </w:r>
          </w:p>
          <w:p w14:paraId="1B74FD42" w14:textId="77777777" w:rsidR="005D343D" w:rsidRPr="006B179E" w:rsidRDefault="005D343D" w:rsidP="00696B6A">
            <w:pPr>
              <w:pStyle w:val="Sinespaciado"/>
              <w:jc w:val="both"/>
              <w:rPr>
                <w:rFonts w:ascii="Verdana" w:eastAsia="Calibri" w:hAnsi="Verdana" w:cs="Arial"/>
                <w:lang w:val="es-MX"/>
              </w:rPr>
            </w:pPr>
          </w:p>
          <w:p w14:paraId="72249B80" w14:textId="77777777" w:rsidR="005D343D" w:rsidRPr="006B179E" w:rsidRDefault="005D343D" w:rsidP="00696B6A">
            <w:pPr>
              <w:pStyle w:val="Sinespaciado"/>
              <w:jc w:val="both"/>
              <w:rPr>
                <w:rFonts w:ascii="Verdana" w:eastAsia="Calibri" w:hAnsi="Verdana" w:cs="Arial"/>
                <w:lang w:val="es-MX"/>
              </w:rPr>
            </w:pPr>
            <w:r w:rsidRPr="006B179E">
              <w:rPr>
                <w:rFonts w:ascii="Verdana" w:eastAsia="Calibri" w:hAnsi="Verdana" w:cs="Arial"/>
                <w:lang w:val="es-MX"/>
              </w:rPr>
              <w:t xml:space="preserve">En estos eventos se debe proceder de la siguiente manera: </w:t>
            </w:r>
          </w:p>
          <w:p w14:paraId="016E6521" w14:textId="77777777" w:rsidR="005D343D" w:rsidRPr="006B179E" w:rsidRDefault="005D343D" w:rsidP="00696B6A">
            <w:pPr>
              <w:pStyle w:val="Sinespaciado"/>
              <w:jc w:val="both"/>
              <w:rPr>
                <w:rFonts w:ascii="Verdana" w:eastAsia="Calibri" w:hAnsi="Verdana" w:cs="Arial"/>
                <w:lang w:val="es-MX"/>
              </w:rPr>
            </w:pPr>
          </w:p>
          <w:p w14:paraId="032A5E8F" w14:textId="77777777" w:rsidR="00C5649B" w:rsidRPr="006B179E" w:rsidRDefault="00C5649B" w:rsidP="002F118C">
            <w:pPr>
              <w:pStyle w:val="Sinespaciado"/>
              <w:numPr>
                <w:ilvl w:val="0"/>
                <w:numId w:val="15"/>
              </w:numPr>
              <w:ind w:left="453"/>
              <w:jc w:val="both"/>
              <w:rPr>
                <w:rFonts w:ascii="Verdana" w:hAnsi="Verdana" w:cs="Arial"/>
              </w:rPr>
            </w:pPr>
            <w:r w:rsidRPr="006B179E">
              <w:rPr>
                <w:rFonts w:ascii="Verdana" w:hAnsi="Verdana" w:cs="Arial"/>
              </w:rPr>
              <w:t>Se correrá traslado para alegar, y en la providencia que así lo ordene, el juzgador precisará sobre cuál o cuáles de las excepciones se pronunciará; y</w:t>
            </w:r>
          </w:p>
          <w:p w14:paraId="0B7A56F1" w14:textId="77777777" w:rsidR="00C5649B" w:rsidRPr="006B179E" w:rsidRDefault="00C5649B" w:rsidP="002F118C">
            <w:pPr>
              <w:pStyle w:val="Sinespaciado"/>
              <w:ind w:left="453"/>
              <w:jc w:val="both"/>
              <w:rPr>
                <w:rFonts w:ascii="Verdana" w:hAnsi="Verdana" w:cs="Arial"/>
              </w:rPr>
            </w:pPr>
          </w:p>
          <w:p w14:paraId="6F6602FF" w14:textId="77777777" w:rsidR="00C5649B" w:rsidRPr="006B179E" w:rsidRDefault="00C5649B" w:rsidP="002F118C">
            <w:pPr>
              <w:pStyle w:val="Sinespaciado"/>
              <w:numPr>
                <w:ilvl w:val="0"/>
                <w:numId w:val="15"/>
              </w:numPr>
              <w:ind w:left="453"/>
              <w:jc w:val="both"/>
              <w:rPr>
                <w:rFonts w:ascii="Verdana" w:hAnsi="Verdana" w:cs="Arial"/>
              </w:rPr>
            </w:pPr>
            <w:r w:rsidRPr="006B179E">
              <w:rPr>
                <w:rFonts w:ascii="Verdana" w:hAnsi="Verdana" w:cs="Arial"/>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6B179E" w:rsidRDefault="00C5649B" w:rsidP="00696B6A">
            <w:pPr>
              <w:pStyle w:val="Sinespaciado"/>
              <w:ind w:left="720"/>
              <w:jc w:val="both"/>
              <w:rPr>
                <w:rFonts w:ascii="Verdana" w:hAnsi="Verdana" w:cs="Arial"/>
              </w:rPr>
            </w:pPr>
          </w:p>
          <w:p w14:paraId="49B5ED22" w14:textId="77777777" w:rsidR="00F57547" w:rsidRDefault="00C5649B" w:rsidP="00696B6A">
            <w:pPr>
              <w:pStyle w:val="Sinespaciado"/>
              <w:jc w:val="both"/>
              <w:rPr>
                <w:rFonts w:ascii="Verdana" w:hAnsi="Verdana" w:cs="Arial"/>
              </w:rPr>
            </w:pPr>
            <w:r w:rsidRPr="006B179E">
              <w:rPr>
                <w:rFonts w:ascii="Verdana" w:hAnsi="Verdana" w:cs="Arial"/>
              </w:rPr>
              <w:t xml:space="preserve">Nota: en el caso de la transacción, enlistada en el tercer evento en el que se puede dictar sentencia anticipada, se procederá en la manera que a continuación se describe. </w:t>
            </w:r>
          </w:p>
          <w:p w14:paraId="58B004BF" w14:textId="321E2674" w:rsidR="002F118C" w:rsidRPr="006B179E" w:rsidRDefault="002F118C" w:rsidP="00696B6A">
            <w:pPr>
              <w:pStyle w:val="Sinespaciado"/>
              <w:jc w:val="both"/>
              <w:rPr>
                <w:rFonts w:ascii="Verdana" w:eastAsia="Calibri" w:hAnsi="Verdana" w:cs="Arial"/>
                <w:lang w:val="es-MX"/>
              </w:rPr>
            </w:pPr>
          </w:p>
        </w:tc>
      </w:tr>
      <w:tr w:rsidR="00CC64F1" w:rsidRPr="006B179E" w14:paraId="06B046C1" w14:textId="77777777" w:rsidTr="00CC64F1">
        <w:trPr>
          <w:trHeight w:val="363"/>
        </w:trPr>
        <w:tc>
          <w:tcPr>
            <w:tcW w:w="9598" w:type="dxa"/>
          </w:tcPr>
          <w:p w14:paraId="31E4C003" w14:textId="77777777" w:rsidR="00C5649B" w:rsidRPr="006B179E" w:rsidRDefault="00C5649B" w:rsidP="00696B6A">
            <w:pPr>
              <w:pStyle w:val="Sinespaciado"/>
              <w:numPr>
                <w:ilvl w:val="0"/>
                <w:numId w:val="2"/>
              </w:numPr>
              <w:jc w:val="both"/>
              <w:rPr>
                <w:rFonts w:ascii="Verdana" w:eastAsia="Calibri" w:hAnsi="Verdana" w:cs="Arial"/>
                <w:b/>
                <w:lang w:val="es-MX"/>
              </w:rPr>
            </w:pPr>
            <w:r w:rsidRPr="006B179E">
              <w:rPr>
                <w:rFonts w:ascii="Verdana" w:eastAsia="Calibri" w:hAnsi="Verdana" w:cs="Arial"/>
                <w:b/>
                <w:lang w:val="es-MX"/>
              </w:rPr>
              <w:t xml:space="preserve">EN CASO DE ALLANAMIENTO O TRANSACCIÓN </w:t>
            </w:r>
          </w:p>
          <w:p w14:paraId="2FA6FB19" w14:textId="77777777" w:rsidR="00C5649B" w:rsidRPr="006B179E" w:rsidRDefault="00C5649B" w:rsidP="00696B6A">
            <w:pPr>
              <w:pStyle w:val="Sinespaciado"/>
              <w:jc w:val="both"/>
              <w:rPr>
                <w:rFonts w:ascii="Verdana" w:eastAsia="Calibri" w:hAnsi="Verdana" w:cs="Arial"/>
                <w:lang w:val="es-MX"/>
              </w:rPr>
            </w:pPr>
          </w:p>
          <w:p w14:paraId="33FBB6EA" w14:textId="77777777" w:rsidR="00E93701" w:rsidRPr="006B179E" w:rsidRDefault="00E93701" w:rsidP="00696B6A">
            <w:pPr>
              <w:pStyle w:val="Sinespaciado"/>
              <w:jc w:val="both"/>
              <w:rPr>
                <w:rFonts w:ascii="Verdana" w:eastAsia="Calibri" w:hAnsi="Verdana" w:cs="Arial"/>
                <w:lang w:val="es-MX"/>
              </w:rPr>
            </w:pPr>
            <w:r w:rsidRPr="006B179E">
              <w:rPr>
                <w:rFonts w:ascii="Verdana" w:eastAsia="Calibri" w:hAnsi="Verdana" w:cs="Arial"/>
                <w:lang w:val="es-MX"/>
              </w:rPr>
              <w:t>(Numeral 4° del artículo 182A del CPACA)</w:t>
            </w:r>
          </w:p>
          <w:p w14:paraId="5AA4F7C3" w14:textId="77777777" w:rsidR="00E93701" w:rsidRPr="006B179E" w:rsidRDefault="00E93701" w:rsidP="00696B6A">
            <w:pPr>
              <w:pStyle w:val="Sinespaciado"/>
              <w:jc w:val="both"/>
              <w:rPr>
                <w:rFonts w:ascii="Verdana" w:eastAsia="Calibri" w:hAnsi="Verdana" w:cs="Arial"/>
                <w:lang w:val="es-MX"/>
              </w:rPr>
            </w:pPr>
          </w:p>
          <w:p w14:paraId="05C1DBFE" w14:textId="77777777" w:rsidR="00E93701" w:rsidRPr="006B179E" w:rsidRDefault="00E93701" w:rsidP="00696B6A">
            <w:pPr>
              <w:pStyle w:val="Sinespaciado"/>
              <w:jc w:val="both"/>
              <w:rPr>
                <w:rFonts w:ascii="Verdana" w:eastAsia="Calibri" w:hAnsi="Verdana" w:cs="Arial"/>
                <w:lang w:val="es-MX"/>
              </w:rPr>
            </w:pPr>
            <w:r w:rsidRPr="006B179E">
              <w:rPr>
                <w:rFonts w:ascii="Verdana" w:eastAsia="Calibri" w:hAnsi="Verdana" w:cs="Arial"/>
                <w:lang w:val="es-MX"/>
              </w:rPr>
              <w:lastRenderedPageBreak/>
              <w:t xml:space="preserve">En estos casos, el trámite será el siguiente: </w:t>
            </w:r>
          </w:p>
          <w:p w14:paraId="7921652E" w14:textId="77777777" w:rsidR="001F2D25" w:rsidRPr="006B179E" w:rsidRDefault="001F2D25" w:rsidP="00696B6A">
            <w:pPr>
              <w:pStyle w:val="Sinespaciado"/>
              <w:jc w:val="both"/>
              <w:rPr>
                <w:rFonts w:ascii="Verdana" w:eastAsia="Calibri" w:hAnsi="Verdana" w:cs="Arial"/>
                <w:lang w:val="es-MX"/>
              </w:rPr>
            </w:pPr>
          </w:p>
          <w:p w14:paraId="1133819C" w14:textId="77777777" w:rsidR="001F2D25" w:rsidRPr="006B179E" w:rsidRDefault="001F2D25" w:rsidP="00696B6A">
            <w:pPr>
              <w:pStyle w:val="Sinespaciado"/>
              <w:numPr>
                <w:ilvl w:val="0"/>
                <w:numId w:val="16"/>
              </w:numPr>
              <w:jc w:val="both"/>
              <w:rPr>
                <w:rFonts w:ascii="Verdana" w:hAnsi="Verdana" w:cs="Arial"/>
              </w:rPr>
            </w:pPr>
            <w:r w:rsidRPr="006B179E">
              <w:rPr>
                <w:rFonts w:ascii="Verdana" w:hAnsi="Verdana" w:cs="Arial"/>
              </w:rPr>
              <w:t>Se dictará sentencia anticipada de manera inmediata, en aplicación del artículo 176 del CPACA; pero</w:t>
            </w:r>
          </w:p>
          <w:p w14:paraId="000006BB" w14:textId="77777777" w:rsidR="001F2D25" w:rsidRPr="006B179E" w:rsidRDefault="001F2D25" w:rsidP="00696B6A">
            <w:pPr>
              <w:pStyle w:val="Sinespaciado"/>
              <w:ind w:left="720"/>
              <w:jc w:val="both"/>
              <w:rPr>
                <w:rFonts w:ascii="Verdana" w:hAnsi="Verdana" w:cs="Arial"/>
              </w:rPr>
            </w:pPr>
          </w:p>
          <w:p w14:paraId="1C0EEB3C" w14:textId="77777777" w:rsidR="001F2D25" w:rsidRPr="006B179E" w:rsidRDefault="001F2D25" w:rsidP="00696B6A">
            <w:pPr>
              <w:pStyle w:val="Sinespaciado"/>
              <w:numPr>
                <w:ilvl w:val="0"/>
                <w:numId w:val="16"/>
              </w:numPr>
              <w:jc w:val="both"/>
              <w:rPr>
                <w:rFonts w:ascii="Verdana" w:hAnsi="Verdana" w:cs="Arial"/>
              </w:rPr>
            </w:pPr>
            <w:r w:rsidRPr="006B179E">
              <w:rPr>
                <w:rFonts w:ascii="Verdana" w:hAnsi="Verdana" w:cs="Arial"/>
              </w:rPr>
              <w:t>El juzgador podrá rechazar el allanamiento o la transacción, y decretar pruebas de oficio, cuando advierta fraude o colusión o lo pida un tercero que intervenga en el proceso, también en aplicación del artículo 176 del CPACA; y</w:t>
            </w:r>
          </w:p>
          <w:p w14:paraId="0363123A" w14:textId="77777777" w:rsidR="001F2D25" w:rsidRPr="006B179E" w:rsidRDefault="001F2D25" w:rsidP="00696B6A">
            <w:pPr>
              <w:pStyle w:val="Sinespaciado"/>
              <w:ind w:left="720"/>
              <w:jc w:val="both"/>
              <w:rPr>
                <w:rFonts w:ascii="Verdana" w:hAnsi="Verdana" w:cs="Arial"/>
              </w:rPr>
            </w:pPr>
          </w:p>
          <w:p w14:paraId="0ABEE988" w14:textId="77777777" w:rsidR="001F2D25" w:rsidRPr="006B179E" w:rsidRDefault="001F2D25" w:rsidP="00696B6A">
            <w:pPr>
              <w:pStyle w:val="Sinespaciado"/>
              <w:numPr>
                <w:ilvl w:val="0"/>
                <w:numId w:val="16"/>
              </w:numPr>
              <w:jc w:val="both"/>
              <w:rPr>
                <w:rFonts w:ascii="Verdana" w:hAnsi="Verdana" w:cs="Arial"/>
              </w:rPr>
            </w:pPr>
            <w:r w:rsidRPr="006B179E">
              <w:rPr>
                <w:rFonts w:ascii="Verdana" w:hAnsi="Verdana" w:cs="Arial"/>
              </w:rPr>
              <w:t>Cumplido lo anterior, el juzgador podrá proferir sentencia anticipada inmediatamente -si ha desaparecido la sospecha de fraude o colusión-, o continuará el trámite normal del proceso.</w:t>
            </w:r>
          </w:p>
          <w:p w14:paraId="5911AB32" w14:textId="77777777" w:rsidR="001F2D25" w:rsidRPr="006B179E" w:rsidRDefault="001F2D25" w:rsidP="00696B6A">
            <w:pPr>
              <w:pStyle w:val="Sinespaciado"/>
              <w:jc w:val="both"/>
              <w:rPr>
                <w:rFonts w:ascii="Verdana" w:eastAsia="Calibri" w:hAnsi="Verdana" w:cs="Arial"/>
                <w:lang w:val="es-MX"/>
              </w:rPr>
            </w:pPr>
          </w:p>
          <w:p w14:paraId="15E17E20" w14:textId="77777777" w:rsidR="00C5649B" w:rsidRPr="006B179E" w:rsidRDefault="00C5649B" w:rsidP="00696B6A">
            <w:pPr>
              <w:pStyle w:val="Sinespaciado"/>
              <w:jc w:val="both"/>
              <w:rPr>
                <w:rFonts w:ascii="Verdana" w:eastAsia="Calibri" w:hAnsi="Verdana" w:cs="Arial"/>
                <w:lang w:val="es-MX"/>
              </w:rPr>
            </w:pPr>
          </w:p>
        </w:tc>
      </w:tr>
    </w:tbl>
    <w:p w14:paraId="33970546" w14:textId="77777777" w:rsidR="00B713D2" w:rsidRPr="006B179E" w:rsidRDefault="00B713D2" w:rsidP="00696B6A">
      <w:pPr>
        <w:pStyle w:val="Sinespaciado"/>
        <w:ind w:left="-1134"/>
        <w:jc w:val="both"/>
        <w:rPr>
          <w:rFonts w:ascii="Verdana" w:eastAsia="Calibri" w:hAnsi="Verdana" w:cs="Arial"/>
          <w:lang w:val="es-MX"/>
        </w:rPr>
      </w:pPr>
    </w:p>
    <w:p w14:paraId="43B219E2" w14:textId="77777777" w:rsidR="00ED4ECD" w:rsidRPr="006B179E" w:rsidRDefault="00ED4ECD" w:rsidP="00696B6A">
      <w:pPr>
        <w:spacing w:after="0" w:line="240" w:lineRule="auto"/>
        <w:jc w:val="both"/>
        <w:rPr>
          <w:rFonts w:ascii="Verdana" w:hAnsi="Verdana" w:cs="Arial"/>
        </w:rPr>
      </w:pPr>
    </w:p>
    <w:p w14:paraId="2297C992" w14:textId="77777777" w:rsidR="00ED4ECD" w:rsidRPr="006B179E" w:rsidRDefault="00ED4ECD" w:rsidP="00696B6A">
      <w:pPr>
        <w:spacing w:after="0" w:line="240" w:lineRule="auto"/>
        <w:jc w:val="both"/>
        <w:rPr>
          <w:rFonts w:ascii="Verdana" w:hAnsi="Verdana" w:cs="Arial"/>
        </w:rPr>
      </w:pPr>
    </w:p>
    <w:p w14:paraId="341CB10B" w14:textId="77777777" w:rsidR="002F7D1D" w:rsidRPr="006B179E" w:rsidRDefault="002F7D1D" w:rsidP="00696B6A">
      <w:pPr>
        <w:spacing w:after="0" w:line="240" w:lineRule="auto"/>
        <w:jc w:val="both"/>
        <w:rPr>
          <w:rFonts w:ascii="Verdana" w:hAnsi="Verdana" w:cs="Arial"/>
        </w:rPr>
      </w:pPr>
    </w:p>
    <w:sectPr w:rsidR="002F7D1D" w:rsidRPr="006B179E"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A14A2" w14:textId="77777777" w:rsidR="00D16BBF" w:rsidRDefault="00D16BBF">
      <w:pPr>
        <w:spacing w:after="0" w:line="240" w:lineRule="auto"/>
      </w:pPr>
      <w:r>
        <w:separator/>
      </w:r>
    </w:p>
  </w:endnote>
  <w:endnote w:type="continuationSeparator" w:id="0">
    <w:p w14:paraId="338169D5" w14:textId="77777777" w:rsidR="00D16BBF" w:rsidRDefault="00D16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D16BB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D16BB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985C6" w14:textId="77777777" w:rsidR="00D16BBF" w:rsidRDefault="00D16BBF">
      <w:pPr>
        <w:spacing w:after="0" w:line="240" w:lineRule="auto"/>
      </w:pPr>
      <w:r>
        <w:separator/>
      </w:r>
    </w:p>
  </w:footnote>
  <w:footnote w:type="continuationSeparator" w:id="0">
    <w:p w14:paraId="2F3995C2" w14:textId="77777777" w:rsidR="00D16BBF" w:rsidRDefault="00D16B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118C"/>
    <w:rsid w:val="002F6A16"/>
    <w:rsid w:val="002F7D1D"/>
    <w:rsid w:val="00306339"/>
    <w:rsid w:val="00341FFF"/>
    <w:rsid w:val="003A0FA3"/>
    <w:rsid w:val="003B379B"/>
    <w:rsid w:val="00407892"/>
    <w:rsid w:val="0041444C"/>
    <w:rsid w:val="004430DA"/>
    <w:rsid w:val="00462075"/>
    <w:rsid w:val="004C270A"/>
    <w:rsid w:val="00532C33"/>
    <w:rsid w:val="00565605"/>
    <w:rsid w:val="00591BD3"/>
    <w:rsid w:val="005B3ECD"/>
    <w:rsid w:val="005C690E"/>
    <w:rsid w:val="005D343D"/>
    <w:rsid w:val="00696B6A"/>
    <w:rsid w:val="006B179E"/>
    <w:rsid w:val="006E320B"/>
    <w:rsid w:val="00731A3D"/>
    <w:rsid w:val="00764314"/>
    <w:rsid w:val="007D59E3"/>
    <w:rsid w:val="00823B31"/>
    <w:rsid w:val="00857522"/>
    <w:rsid w:val="00926ADA"/>
    <w:rsid w:val="00965363"/>
    <w:rsid w:val="0096597C"/>
    <w:rsid w:val="009E3199"/>
    <w:rsid w:val="00A461DF"/>
    <w:rsid w:val="00A62E46"/>
    <w:rsid w:val="00A91F5A"/>
    <w:rsid w:val="00B47DA4"/>
    <w:rsid w:val="00B713D2"/>
    <w:rsid w:val="00C03D2D"/>
    <w:rsid w:val="00C43096"/>
    <w:rsid w:val="00C53F95"/>
    <w:rsid w:val="00C5649B"/>
    <w:rsid w:val="00CC64F1"/>
    <w:rsid w:val="00CF03D9"/>
    <w:rsid w:val="00D111DA"/>
    <w:rsid w:val="00D16BBF"/>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958</Words>
  <Characters>5274</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Saúl .</cp:lastModifiedBy>
  <cp:revision>2</cp:revision>
  <dcterms:created xsi:type="dcterms:W3CDTF">2021-09-06T13:07:00Z</dcterms:created>
  <dcterms:modified xsi:type="dcterms:W3CDTF">2021-09-06T13:07:00Z</dcterms:modified>
</cp:coreProperties>
</file>