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C1CEE" w:rsidRPr="001F2D25" w:rsidRDefault="00CC1CEE" w:rsidP="00CC1CEE">
      <w:pPr>
        <w:pStyle w:val="Sinespaciado"/>
        <w:rPr>
          <w:rFonts w:ascii="Arial" w:eastAsia="Calibri" w:hAnsi="Arial" w:cs="Arial"/>
          <w:b/>
          <w:sz w:val="24"/>
          <w:szCs w:val="24"/>
          <w:lang w:val="es-MX"/>
        </w:rPr>
      </w:pPr>
      <w:r w:rsidRPr="001F2D25">
        <w:rPr>
          <w:rFonts w:ascii="Arial" w:hAnsi="Arial" w:cs="Arial"/>
          <w:noProof/>
        </w:rPr>
        <w:drawing>
          <wp:anchor distT="0" distB="0" distL="114300" distR="114300" simplePos="0" relativeHeight="251659264" behindDoc="0" locked="0" layoutInCell="1" allowOverlap="1" wp14:anchorId="440AFB8C" wp14:editId="7460F7B5">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rsidR="00CC1CEE" w:rsidRPr="001F2D25" w:rsidRDefault="00CC1CEE" w:rsidP="00CC1CEE">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rsidR="00CC1CEE" w:rsidRPr="001F2D25" w:rsidRDefault="00CC1CEE" w:rsidP="00CC1CEE">
      <w:pPr>
        <w:pStyle w:val="Sinespaciado"/>
        <w:jc w:val="center"/>
        <w:rPr>
          <w:rFonts w:ascii="Arial" w:hAnsi="Arial" w:cs="Arial"/>
          <w:b/>
          <w:lang w:val="es-MX"/>
        </w:rPr>
      </w:pPr>
      <w:r w:rsidRPr="001F2D25">
        <w:rPr>
          <w:rFonts w:ascii="Arial" w:eastAsia="Calibri" w:hAnsi="Arial" w:cs="Arial"/>
          <w:b/>
          <w:lang w:val="es-MX"/>
        </w:rPr>
        <w:t xml:space="preserve">LISTA DE CHEQUEO – ADOPCIÓN DE MEDIDAS PARA DICTAR SENTENCIA ANTICIPADA </w:t>
      </w:r>
    </w:p>
    <w:p w:rsidR="00CC1CEE" w:rsidRPr="001F2D25" w:rsidRDefault="00CC1CEE" w:rsidP="00CC1CEE">
      <w:pPr>
        <w:pStyle w:val="Sinespaciado"/>
        <w:rPr>
          <w:rFonts w:ascii="Arial" w:hAnsi="Arial" w:cs="Arial"/>
          <w:lang w:val="es-MX"/>
        </w:rPr>
      </w:pPr>
    </w:p>
    <w:p w:rsidR="00CC1CEE" w:rsidRPr="001F2D25" w:rsidRDefault="00CC1CEE" w:rsidP="00CC1CEE">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 xml:space="preserve">DISPOSICIONES A APLICAR </w:t>
      </w:r>
    </w:p>
    <w:p w:rsidR="00CC1CEE" w:rsidRPr="001F2D25" w:rsidRDefault="00CC1CEE" w:rsidP="00CC1CEE">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rsidR="00CC1CEE" w:rsidRPr="001F2D25" w:rsidRDefault="00CC1CEE" w:rsidP="00CC1CEE">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38 L. 2080 de 2021 (Parágrafo 2° del artículo 175 del CPACA)</w:t>
      </w:r>
    </w:p>
    <w:p w:rsidR="00CC1CEE" w:rsidRPr="001F2D25" w:rsidRDefault="00CC1CEE" w:rsidP="00CC1CEE">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(adiciona 182A al CPACA)</w:t>
      </w:r>
    </w:p>
    <w:p w:rsidR="00CC1CEE" w:rsidRPr="001F2D25" w:rsidRDefault="00CC1CEE" w:rsidP="00CC1CEE">
      <w:pPr>
        <w:pStyle w:val="Sinespaciado"/>
        <w:rPr>
          <w:rFonts w:ascii="Arial" w:hAnsi="Arial" w:cs="Arial"/>
          <w:b/>
          <w:sz w:val="24"/>
          <w:szCs w:val="24"/>
          <w:lang w:val="es-MX"/>
        </w:rPr>
      </w:pPr>
    </w:p>
    <w:p w:rsidR="00CC1CEE" w:rsidRPr="00D05E90" w:rsidRDefault="00CC1CEE" w:rsidP="00CC1CEE">
      <w:pPr>
        <w:pStyle w:val="Sinespaciado"/>
        <w:ind w:left="-1134"/>
        <w:rPr>
          <w:rFonts w:ascii="Arial" w:hAnsi="Arial" w:cs="Arial"/>
          <w:b/>
          <w:bCs/>
          <w:lang w:val="es-MX"/>
        </w:rPr>
      </w:pPr>
      <w:r w:rsidRPr="001F2D25">
        <w:rPr>
          <w:rFonts w:ascii="Arial" w:eastAsia="Calibri" w:hAnsi="Arial" w:cs="Arial"/>
          <w:lang w:val="es-MX"/>
        </w:rPr>
        <w:t>Elaborada por:</w:t>
      </w:r>
      <w:r w:rsidR="00D05E90">
        <w:rPr>
          <w:rFonts w:ascii="Arial" w:eastAsia="Calibri" w:hAnsi="Arial" w:cs="Arial"/>
          <w:lang w:val="es-MX"/>
        </w:rPr>
        <w:t xml:space="preserve"> </w:t>
      </w:r>
      <w:r w:rsidR="003A645C">
        <w:rPr>
          <w:rFonts w:ascii="Arial" w:eastAsia="Calibri" w:hAnsi="Arial" w:cs="Arial"/>
          <w:b/>
          <w:bCs/>
          <w:lang w:val="es-MX"/>
        </w:rPr>
        <w:t xml:space="preserve">EDHER </w:t>
      </w:r>
      <w:r w:rsidR="00D05E90">
        <w:rPr>
          <w:rFonts w:ascii="Arial" w:eastAsia="Calibri" w:hAnsi="Arial" w:cs="Arial"/>
          <w:b/>
          <w:bCs/>
          <w:lang w:val="es-MX"/>
        </w:rPr>
        <w:t>DANIEL RUEDA DURÁN</w:t>
      </w:r>
    </w:p>
    <w:p w:rsidR="00CC1CEE" w:rsidRPr="00D05E90" w:rsidRDefault="00CC1CEE" w:rsidP="00CC1CEE">
      <w:pPr>
        <w:pStyle w:val="Sinespaciado"/>
        <w:ind w:left="-1134"/>
        <w:rPr>
          <w:rFonts w:ascii="Arial" w:hAnsi="Arial" w:cs="Arial"/>
          <w:b/>
          <w:bCs/>
          <w:lang w:val="es-MX"/>
        </w:rPr>
      </w:pPr>
      <w:r w:rsidRPr="001F2D25">
        <w:rPr>
          <w:rFonts w:ascii="Arial" w:hAnsi="Arial" w:cs="Arial"/>
          <w:lang w:val="es-MX"/>
        </w:rPr>
        <w:t xml:space="preserve">Fecha:   </w:t>
      </w:r>
      <w:r w:rsidR="00D05E90">
        <w:rPr>
          <w:rFonts w:ascii="Arial" w:hAnsi="Arial" w:cs="Arial"/>
          <w:b/>
          <w:bCs/>
          <w:lang w:val="es-MX"/>
        </w:rPr>
        <w:t>05/09/2021</w:t>
      </w:r>
    </w:p>
    <w:p w:rsidR="00CC1CEE" w:rsidRPr="00D05E90" w:rsidRDefault="00CC1CEE" w:rsidP="00CC1CEE">
      <w:pPr>
        <w:pStyle w:val="Sinespaciado"/>
        <w:ind w:left="-1134"/>
        <w:rPr>
          <w:rFonts w:ascii="Arial" w:hAnsi="Arial" w:cs="Arial"/>
          <w:b/>
          <w:bCs/>
          <w:lang w:val="es-MX"/>
        </w:rPr>
      </w:pPr>
      <w:r w:rsidRPr="001F2D25">
        <w:rPr>
          <w:rFonts w:ascii="Arial" w:hAnsi="Arial" w:cs="Arial"/>
          <w:lang w:val="es-MX"/>
        </w:rPr>
        <w:t xml:space="preserve">Medio de control: </w:t>
      </w:r>
      <w:r w:rsidR="00D05E90">
        <w:rPr>
          <w:rFonts w:ascii="Arial" w:hAnsi="Arial" w:cs="Arial"/>
          <w:b/>
          <w:bCs/>
          <w:lang w:val="es-MX"/>
        </w:rPr>
        <w:t xml:space="preserve">CONTROVERSIAS CONTRACTUALES </w:t>
      </w:r>
    </w:p>
    <w:p w:rsidR="00CC1CEE" w:rsidRPr="001F2D25" w:rsidRDefault="00CC1CEE" w:rsidP="00CC1CEE">
      <w:pPr>
        <w:pStyle w:val="Sinespaciado"/>
        <w:ind w:left="-1134"/>
        <w:rPr>
          <w:rFonts w:ascii="Arial" w:hAnsi="Arial" w:cs="Arial"/>
          <w:lang w:val="es-MX"/>
        </w:rPr>
      </w:pPr>
      <w:r w:rsidRPr="001F2D25">
        <w:rPr>
          <w:rFonts w:ascii="Arial" w:hAnsi="Arial" w:cs="Arial"/>
          <w:lang w:val="es-MX"/>
        </w:rPr>
        <w:t>Demandante:</w:t>
      </w:r>
      <w:r w:rsidR="00D05E90">
        <w:rPr>
          <w:rFonts w:ascii="Arial" w:hAnsi="Arial" w:cs="Arial"/>
          <w:lang w:val="es-MX"/>
        </w:rPr>
        <w:t xml:space="preserve"> REMY IPS SAS</w:t>
      </w:r>
      <w:bookmarkStart w:id="0" w:name="_GoBack"/>
      <w:bookmarkEnd w:id="0"/>
    </w:p>
    <w:p w:rsidR="00CC1CEE" w:rsidRDefault="00CC1CEE" w:rsidP="00CC1CEE">
      <w:pPr>
        <w:pStyle w:val="Sinespaciado"/>
        <w:ind w:left="-1134"/>
        <w:rPr>
          <w:rFonts w:ascii="Arial" w:hAnsi="Arial" w:cs="Arial"/>
          <w:lang w:val="es-MX"/>
        </w:rPr>
      </w:pPr>
      <w:r w:rsidRPr="001F2D25">
        <w:rPr>
          <w:rFonts w:ascii="Arial" w:hAnsi="Arial" w:cs="Arial"/>
          <w:lang w:val="es-MX"/>
        </w:rPr>
        <w:t>Demandado:</w:t>
      </w:r>
      <w:r w:rsidR="00D05E90">
        <w:rPr>
          <w:rFonts w:ascii="Arial" w:hAnsi="Arial" w:cs="Arial"/>
          <w:lang w:val="es-MX"/>
        </w:rPr>
        <w:t xml:space="preserve"> FONDO FINANCIERO DISTRITAL DE SALUD</w:t>
      </w:r>
    </w:p>
    <w:p w:rsidR="00D05E90" w:rsidRDefault="00D05E90" w:rsidP="00CC1CEE">
      <w:pPr>
        <w:pStyle w:val="Sinespaciado"/>
        <w:ind w:left="-1134"/>
        <w:rPr>
          <w:rFonts w:ascii="Arial" w:hAnsi="Arial" w:cs="Arial"/>
          <w:lang w:val="es-MX"/>
        </w:rPr>
      </w:pPr>
    </w:p>
    <w:p w:rsidR="00D05E90" w:rsidRPr="00D05E90" w:rsidRDefault="00D05E90" w:rsidP="00CC1CEE">
      <w:pPr>
        <w:pStyle w:val="Sinespaciado"/>
        <w:ind w:left="-1134"/>
        <w:rPr>
          <w:rFonts w:ascii="Arial" w:hAnsi="Arial" w:cs="Arial"/>
          <w:b/>
          <w:bCs/>
          <w:lang w:val="es-MX"/>
        </w:rPr>
      </w:pPr>
      <w:r>
        <w:rPr>
          <w:rFonts w:ascii="Arial" w:hAnsi="Arial" w:cs="Arial"/>
          <w:b/>
          <w:bCs/>
          <w:lang w:val="es-MX"/>
        </w:rPr>
        <w:t>NOTA: EN EL PRESENTE ASUNTO PROCEDE A PROFERIR SENTENCIA ANTICIPADA EN RAZÓN A QUE SE ENCUENTRA PROBADA LA CADUCIDAD DEL MEDIO DE CONTROL.</w:t>
      </w:r>
    </w:p>
    <w:p w:rsidR="00CC1CEE" w:rsidRPr="001F2D25" w:rsidRDefault="00CC1CEE" w:rsidP="00CC1CEE">
      <w:pPr>
        <w:pStyle w:val="Sinespaciado"/>
        <w:ind w:left="-1134"/>
        <w:rPr>
          <w:rFonts w:ascii="Arial" w:hAnsi="Arial" w:cs="Arial"/>
          <w:lang w:val="es-MX"/>
        </w:rPr>
      </w:pPr>
    </w:p>
    <w:p w:rsidR="00CC1CEE" w:rsidRPr="001F2D25" w:rsidRDefault="00CC1CEE" w:rsidP="00CC1CEE">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1CEE" w:rsidRPr="001F2D25" w:rsidTr="00642D0B">
        <w:trPr>
          <w:trHeight w:val="363"/>
        </w:trPr>
        <w:tc>
          <w:tcPr>
            <w:tcW w:w="9598" w:type="dxa"/>
          </w:tcPr>
          <w:p w:rsidR="00CC1CEE" w:rsidRPr="001F2D25" w:rsidRDefault="00CC1CEE" w:rsidP="00642D0B">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rsidR="00CC1CEE" w:rsidRPr="001F2D25" w:rsidRDefault="00CC1CEE" w:rsidP="00642D0B">
            <w:pPr>
              <w:pStyle w:val="Sinespaciado"/>
              <w:rPr>
                <w:rFonts w:ascii="Arial" w:eastAsia="Calibri" w:hAnsi="Arial" w:cs="Arial"/>
                <w:lang w:val="es-MX"/>
              </w:rPr>
            </w:pPr>
          </w:p>
          <w:p w:rsidR="00CC1CEE" w:rsidRPr="001F2D25" w:rsidRDefault="00CC1CEE" w:rsidP="00642D0B">
            <w:pPr>
              <w:pStyle w:val="Sinespaciado"/>
              <w:jc w:val="both"/>
              <w:rPr>
                <w:rFonts w:ascii="Arial" w:eastAsia="Calibri" w:hAnsi="Arial" w:cs="Arial"/>
                <w:lang w:val="es-MX"/>
              </w:rPr>
            </w:pPr>
            <w:r w:rsidRPr="001F2D25">
              <w:rPr>
                <w:rFonts w:ascii="Arial" w:eastAsia="Calibri" w:hAnsi="Arial" w:cs="Arial"/>
                <w:lang w:val="es-MX"/>
              </w:rPr>
              <w:t>Verifique que el término de traslado de la demanda se encuentra vencido y que no hay excepciones previas que resolver o no se advierta el incumplimiento de requisitos de procedibilidad.</w:t>
            </w:r>
          </w:p>
          <w:p w:rsidR="00CC1CEE" w:rsidRPr="001F2D25" w:rsidRDefault="00CC1CEE" w:rsidP="00642D0B">
            <w:pPr>
              <w:pStyle w:val="Sinespaciado"/>
              <w:rPr>
                <w:rFonts w:ascii="Arial" w:eastAsia="Calibri" w:hAnsi="Arial" w:cs="Arial"/>
                <w:lang w:val="es-MX"/>
              </w:rPr>
            </w:pPr>
          </w:p>
          <w:p w:rsidR="00CC1CEE" w:rsidRPr="001F2D25" w:rsidRDefault="00CC1CEE" w:rsidP="00642D0B">
            <w:pPr>
              <w:pStyle w:val="Sinespaciado"/>
              <w:rPr>
                <w:rFonts w:ascii="Arial" w:eastAsia="Calibri" w:hAnsi="Arial" w:cs="Arial"/>
                <w:lang w:val="es-MX"/>
              </w:rPr>
            </w:pPr>
            <w:r w:rsidRPr="001F2D25">
              <w:rPr>
                <w:rFonts w:ascii="Arial" w:eastAsia="Calibri" w:hAnsi="Arial" w:cs="Arial"/>
                <w:lang w:val="es-MX"/>
              </w:rPr>
              <w:t>(Arts. 172, 175, 199 del CPACA)</w:t>
            </w:r>
          </w:p>
          <w:p w:rsidR="00CC1CEE" w:rsidRPr="001F2D25" w:rsidRDefault="00CC1CEE" w:rsidP="00642D0B">
            <w:pPr>
              <w:pStyle w:val="Sinespaciado"/>
              <w:rPr>
                <w:rFonts w:ascii="Arial" w:eastAsia="Calibri" w:hAnsi="Arial" w:cs="Arial"/>
                <w:lang w:val="es-MX"/>
              </w:rPr>
            </w:pPr>
          </w:p>
          <w:p w:rsidR="00CC1CEE" w:rsidRPr="001F2D25" w:rsidRDefault="00CC1CEE" w:rsidP="00642D0B">
            <w:pPr>
              <w:pStyle w:val="Sinespaciado"/>
              <w:rPr>
                <w:rFonts w:ascii="Arial" w:eastAsia="Calibri" w:hAnsi="Arial" w:cs="Arial"/>
                <w:lang w:val="es-MX"/>
              </w:rPr>
            </w:pPr>
          </w:p>
          <w:p w:rsidR="00CC1CEE" w:rsidRPr="00306339" w:rsidRDefault="00CC1CEE" w:rsidP="00642D0B">
            <w:pPr>
              <w:jc w:val="both"/>
              <w:rPr>
                <w:rFonts w:ascii="Arial" w:eastAsia="Calibri" w:hAnsi="Arial" w:cs="Arial"/>
                <w:i/>
                <w:lang w:val="es-MX"/>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tc>
      </w:tr>
      <w:tr w:rsidR="00CC1CEE" w:rsidRPr="001F2D25" w:rsidTr="00642D0B">
        <w:trPr>
          <w:trHeight w:val="363"/>
        </w:trPr>
        <w:tc>
          <w:tcPr>
            <w:tcW w:w="9598" w:type="dxa"/>
          </w:tcPr>
          <w:p w:rsidR="00CC1CEE" w:rsidRPr="001F2D25" w:rsidRDefault="00CC1CEE" w:rsidP="00CC1CEE">
            <w:pPr>
              <w:pStyle w:val="Sinespaciado"/>
              <w:numPr>
                <w:ilvl w:val="0"/>
                <w:numId w:val="1"/>
              </w:numPr>
              <w:ind w:left="27" w:firstLine="0"/>
              <w:rPr>
                <w:rFonts w:ascii="Arial" w:eastAsia="Calibri" w:hAnsi="Arial" w:cs="Arial"/>
                <w:b/>
                <w:lang w:val="es-MX"/>
              </w:rPr>
            </w:pPr>
            <w:r w:rsidRPr="001F2D25">
              <w:rPr>
                <w:rFonts w:ascii="Arial" w:eastAsia="Calibri" w:hAnsi="Arial" w:cs="Arial"/>
                <w:b/>
                <w:lang w:val="es-MX"/>
              </w:rPr>
              <w:t xml:space="preserve">SENTENCIA ANTICIPADA ANTES DE LA AUDIENCIA INICIAL </w:t>
            </w:r>
          </w:p>
          <w:p w:rsidR="00CC1CEE" w:rsidRPr="001F2D25" w:rsidRDefault="00CC1CEE" w:rsidP="00642D0B">
            <w:pPr>
              <w:pStyle w:val="Sinespaciado"/>
              <w:rPr>
                <w:rFonts w:ascii="Arial" w:eastAsia="Calibri" w:hAnsi="Arial" w:cs="Arial"/>
                <w:lang w:val="es-MX"/>
              </w:rPr>
            </w:pPr>
          </w:p>
          <w:p w:rsidR="00CC1CEE" w:rsidRPr="001F2D25" w:rsidRDefault="00CC1CEE" w:rsidP="00642D0B">
            <w:pPr>
              <w:pStyle w:val="Sinespaciado"/>
              <w:rPr>
                <w:rFonts w:ascii="Arial" w:eastAsia="Calibri" w:hAnsi="Arial" w:cs="Arial"/>
                <w:lang w:val="es-MX"/>
              </w:rPr>
            </w:pPr>
            <w:r w:rsidRPr="001F2D25">
              <w:rPr>
                <w:rFonts w:ascii="Arial" w:eastAsia="Calibri" w:hAnsi="Arial" w:cs="Arial"/>
                <w:lang w:val="es-MX"/>
              </w:rPr>
              <w:t xml:space="preserve"> (Numeral 1° del artículo 182A del CPACA)</w:t>
            </w:r>
          </w:p>
          <w:p w:rsidR="00CC1CEE" w:rsidRPr="001F2D25" w:rsidRDefault="00CC1CEE" w:rsidP="00642D0B">
            <w:pPr>
              <w:pStyle w:val="Sinespaciado"/>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660288" behindDoc="0" locked="0" layoutInCell="1" allowOverlap="1" wp14:anchorId="470BD064" wp14:editId="2B466D10">
                      <wp:simplePos x="0" y="0"/>
                      <wp:positionH relativeFrom="column">
                        <wp:posOffset>3484880</wp:posOffset>
                      </wp:positionH>
                      <wp:positionV relativeFrom="paragraph">
                        <wp:posOffset>156210</wp:posOffset>
                      </wp:positionV>
                      <wp:extent cx="381000" cy="200025"/>
                      <wp:effectExtent l="0" t="0" r="19050" b="28575"/>
                      <wp:wrapNone/>
                      <wp:docPr id="5" name="Rectángulo 5"/>
                      <wp:cNvGraphicFramePr/>
                      <a:graphic xmlns:a="http://schemas.openxmlformats.org/drawingml/2006/main">
                        <a:graphicData uri="http://schemas.microsoft.com/office/word/2010/wordprocessingShape">
                          <wps:wsp>
                            <wps:cNvSpPr/>
                            <wps:spPr>
                              <a:xfrm>
                                <a:off x="0" y="0"/>
                                <a:ext cx="381000" cy="20002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E92515" id="Rectángulo 5" o:spid="_x0000_s1026" style="position:absolute;margin-left:274.4pt;margin-top:12.3pt;width:30pt;height:1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" fillcolor="white [3201]" strokecolor="#70ad47 [3209]" strokeweight="1pt"/>
                  </w:pict>
                </mc:Fallback>
              </mc:AlternateContent>
            </w:r>
          </w:p>
          <w:p w:rsidR="00CC1CEE" w:rsidRPr="001F2D25" w:rsidRDefault="00CC1CEE" w:rsidP="00642D0B">
            <w:pPr>
              <w:pStyle w:val="Sinespaciado"/>
              <w:ind w:left="708"/>
              <w:jc w:val="both"/>
              <w:rPr>
                <w:rFonts w:ascii="Arial" w:hAnsi="Arial" w:cs="Arial"/>
                <w:i/>
              </w:rPr>
            </w:pPr>
            <w:r w:rsidRPr="001F2D25">
              <w:rPr>
                <w:rFonts w:ascii="Arial" w:hAnsi="Arial" w:cs="Arial"/>
                <w:b/>
                <w:i/>
              </w:rPr>
              <w:t>a</w:t>
            </w:r>
            <w:r w:rsidRPr="001F2D25">
              <w:rPr>
                <w:rFonts w:ascii="Arial" w:hAnsi="Arial" w:cs="Arial"/>
                <w:i/>
              </w:rPr>
              <w:t>) Cuando se trate de asuntos de puro derecho;  </w:t>
            </w:r>
          </w:p>
          <w:p w:rsidR="00CC1CEE" w:rsidRDefault="00CC1CEE" w:rsidP="00642D0B">
            <w:pPr>
              <w:pStyle w:val="Sinespaciado"/>
              <w:ind w:left="708"/>
              <w:jc w:val="both"/>
              <w:rPr>
                <w:rFonts w:ascii="Arial" w:hAnsi="Arial" w:cs="Arial"/>
                <w:b/>
                <w:bCs/>
                <w:i/>
              </w:rPr>
            </w:pPr>
            <w:r w:rsidRPr="001F2D25">
              <w:rPr>
                <w:rFonts w:ascii="Arial" w:eastAsia="Calibri" w:hAnsi="Arial" w:cs="Arial"/>
                <w:noProof/>
              </w:rPr>
              <mc:AlternateContent>
                <mc:Choice Requires="wps">
                  <w:drawing>
                    <wp:anchor distT="0" distB="0" distL="114300" distR="114300" simplePos="0" relativeHeight="251661312" behindDoc="0" locked="0" layoutInCell="1" allowOverlap="1" wp14:anchorId="47D2C565" wp14:editId="7BEB9193">
                      <wp:simplePos x="0" y="0"/>
                      <wp:positionH relativeFrom="column">
                        <wp:posOffset>3127213</wp:posOffset>
                      </wp:positionH>
                      <wp:positionV relativeFrom="paragraph">
                        <wp:posOffset>153463</wp:posOffset>
                      </wp:positionV>
                      <wp:extent cx="250441" cy="180550"/>
                      <wp:effectExtent l="0" t="0" r="16510" b="10160"/>
                      <wp:wrapNone/>
                      <wp:docPr id="6" name="Rectángulo 6"/>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1CDB13" id="Rectángulo 6" o:spid="_x0000_s1026" style="position:absolute;margin-left:246.25pt;margin-top:12.1pt;width:19.7pt;height:14.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" fillcolor="white [3201]" strokecolor="#70ad47 [3209]" strokeweight="1pt"/>
                  </w:pict>
                </mc:Fallback>
              </mc:AlternateContent>
            </w:r>
          </w:p>
          <w:p w:rsidR="00CC1CEE" w:rsidRPr="001F2D25" w:rsidRDefault="00CC1CEE" w:rsidP="00642D0B">
            <w:pPr>
              <w:pStyle w:val="Sinespaciado"/>
              <w:ind w:left="708"/>
              <w:jc w:val="both"/>
              <w:rPr>
                <w:rFonts w:ascii="Arial" w:hAnsi="Arial" w:cs="Arial"/>
                <w:i/>
              </w:rPr>
            </w:pPr>
            <w:r w:rsidRPr="001F2D25">
              <w:rPr>
                <w:rFonts w:ascii="Arial" w:hAnsi="Arial" w:cs="Arial"/>
                <w:b/>
                <w:bCs/>
                <w:i/>
              </w:rPr>
              <w:t>b)</w:t>
            </w:r>
            <w:r w:rsidRPr="001F2D25">
              <w:rPr>
                <w:rFonts w:ascii="Arial" w:hAnsi="Arial" w:cs="Arial"/>
                <w:i/>
              </w:rPr>
              <w:t xml:space="preserve"> Cuando no haya que practicar pruebas;  </w:t>
            </w:r>
          </w:p>
          <w:p w:rsidR="00CC1CEE" w:rsidRDefault="00CC1CEE" w:rsidP="00642D0B">
            <w:pPr>
              <w:pStyle w:val="Sinespaciado"/>
              <w:ind w:left="708"/>
              <w:jc w:val="both"/>
              <w:rPr>
                <w:rFonts w:ascii="Arial" w:hAnsi="Arial" w:cs="Arial"/>
                <w:b/>
                <w:bCs/>
                <w:i/>
              </w:rPr>
            </w:pPr>
          </w:p>
          <w:p w:rsidR="00CC1CEE" w:rsidRPr="001F2D25" w:rsidRDefault="00CC1CEE" w:rsidP="00642D0B">
            <w:pPr>
              <w:pStyle w:val="Sinespaciado"/>
              <w:ind w:left="708"/>
              <w:jc w:val="both"/>
              <w:rPr>
                <w:rFonts w:ascii="Arial" w:hAnsi="Arial" w:cs="Arial"/>
                <w:i/>
              </w:rPr>
            </w:pPr>
            <w:r w:rsidRPr="001F2D25">
              <w:rPr>
                <w:rFonts w:ascii="Arial" w:eastAsia="Calibri" w:hAnsi="Arial" w:cs="Arial"/>
                <w:noProof/>
              </w:rPr>
              <mc:AlternateContent>
                <mc:Choice Requires="wps">
                  <w:drawing>
                    <wp:anchor distT="0" distB="0" distL="114300" distR="114300" simplePos="0" relativeHeight="251662336" behindDoc="0" locked="0" layoutInCell="1" allowOverlap="1" wp14:anchorId="173CA519" wp14:editId="0C966AC1">
                      <wp:simplePos x="0" y="0"/>
                      <wp:positionH relativeFrom="column">
                        <wp:posOffset>1606550</wp:posOffset>
                      </wp:positionH>
                      <wp:positionV relativeFrom="paragraph">
                        <wp:posOffset>323688</wp:posOffset>
                      </wp:positionV>
                      <wp:extent cx="250441" cy="180550"/>
                      <wp:effectExtent l="0" t="0" r="16510" b="10160"/>
                      <wp:wrapNone/>
                      <wp:docPr id="15" name="Rectángulo 1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4179F3" id="Rectángulo 15" o:spid="_x0000_s1026" style="position:absolute;margin-left:126.5pt;margin-top:25.5pt;width:19.7pt;height:14.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Ra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" fillcolor="white [3201]" strokecolor="#70ad47 [3209]" strokeweight="1pt"/>
                  </w:pict>
                </mc:Fallback>
              </mc:AlternateContent>
            </w:r>
            <w:r w:rsidRPr="001F2D25">
              <w:rPr>
                <w:rFonts w:ascii="Arial" w:hAnsi="Arial" w:cs="Arial"/>
                <w:b/>
                <w:bCs/>
                <w:i/>
              </w:rPr>
              <w:t>c)</w:t>
            </w:r>
            <w:r w:rsidRPr="001F2D25">
              <w:rPr>
                <w:rFonts w:ascii="Arial" w:hAnsi="Arial" w:cs="Arial"/>
                <w:i/>
              </w:rPr>
              <w:t xml:space="preserve"> Cuando solo se solicite tener como pruebas las documentales aportadas con la demanda y la contestación, y sobre ellas no se hubiese formulado tacha o desconocimiento;  </w:t>
            </w:r>
          </w:p>
          <w:p w:rsidR="00CC1CEE" w:rsidRDefault="00CC1CEE" w:rsidP="00642D0B">
            <w:pPr>
              <w:pStyle w:val="Sinespaciado"/>
              <w:ind w:left="720"/>
              <w:rPr>
                <w:rFonts w:ascii="Arial" w:hAnsi="Arial" w:cs="Arial"/>
                <w:b/>
                <w:bCs/>
                <w:i/>
              </w:rPr>
            </w:pPr>
          </w:p>
          <w:p w:rsidR="00CC1CEE" w:rsidRPr="001F2D25" w:rsidRDefault="00CC1CEE" w:rsidP="00642D0B">
            <w:pPr>
              <w:pStyle w:val="Sinespaciado"/>
              <w:ind w:left="720"/>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663360" behindDoc="0" locked="0" layoutInCell="1" allowOverlap="1" wp14:anchorId="018A2A36" wp14:editId="2C8200A8">
                      <wp:simplePos x="0" y="0"/>
                      <wp:positionH relativeFrom="column">
                        <wp:posOffset>1021375</wp:posOffset>
                      </wp:positionH>
                      <wp:positionV relativeFrom="paragraph">
                        <wp:posOffset>176073</wp:posOffset>
                      </wp:positionV>
                      <wp:extent cx="250441" cy="180550"/>
                      <wp:effectExtent l="0" t="0" r="16510" b="10160"/>
                      <wp:wrapNone/>
                      <wp:docPr id="18" name="Rectángulo 18"/>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2AAEBB" id="Rectángulo 18" o:spid="_x0000_s1026" style="position:absolute;margin-left:80.4pt;margin-top:13.85pt;width:19.7pt;height:14.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QoO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" fillcolor="white [3201]" strokecolor="#70ad47 [3209]" strokeweight="1pt"/>
                  </w:pict>
                </mc:Fallback>
              </mc:AlternateContent>
            </w:r>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p>
          <w:p w:rsidR="00CC1CEE" w:rsidRPr="001F2D25" w:rsidRDefault="00CC1CEE" w:rsidP="00642D0B">
            <w:pPr>
              <w:pStyle w:val="Sinespaciado"/>
              <w:rPr>
                <w:rFonts w:ascii="Arial" w:eastAsia="Calibri" w:hAnsi="Arial" w:cs="Arial"/>
                <w:lang w:val="es-MX"/>
              </w:rPr>
            </w:pPr>
          </w:p>
          <w:p w:rsidR="00CC1CEE" w:rsidRPr="001F2D25" w:rsidRDefault="00CC1CEE" w:rsidP="00642D0B">
            <w:pPr>
              <w:pStyle w:val="Sinespaciado"/>
              <w:jc w:val="both"/>
              <w:rPr>
                <w:rFonts w:ascii="Arial" w:eastAsia="Calibri" w:hAnsi="Arial" w:cs="Arial"/>
                <w:lang w:val="es-MX"/>
              </w:rPr>
            </w:pPr>
            <w:r w:rsidRPr="001F2D25">
              <w:rPr>
                <w:rFonts w:ascii="Arial" w:eastAsia="Calibri" w:hAnsi="Arial" w:cs="Arial"/>
                <w:lang w:val="es-MX"/>
              </w:rPr>
              <w:lastRenderedPageBreak/>
              <w:t xml:space="preserve">Cuando se verifique que procede la sentencia anticipada por alguno de los casos antes descritos, el juez o magistrado ponente debe: </w:t>
            </w:r>
          </w:p>
          <w:p w:rsidR="00CC1CEE" w:rsidRPr="001F2D25" w:rsidRDefault="00CC1CEE" w:rsidP="00642D0B">
            <w:pPr>
              <w:pStyle w:val="Sinespaciado"/>
              <w:jc w:val="both"/>
              <w:rPr>
                <w:rFonts w:ascii="Arial" w:eastAsia="Calibri" w:hAnsi="Arial" w:cs="Arial"/>
                <w:lang w:val="es-MX"/>
              </w:rPr>
            </w:pPr>
          </w:p>
          <w:p w:rsidR="00CC1CEE" w:rsidRPr="001F2D25" w:rsidRDefault="00CC1CEE" w:rsidP="00CC1CEE">
            <w:pPr>
              <w:pStyle w:val="Sinespaciado"/>
              <w:numPr>
                <w:ilvl w:val="0"/>
                <w:numId w:val="2"/>
              </w:numPr>
              <w:jc w:val="both"/>
              <w:rPr>
                <w:rFonts w:ascii="Arial" w:eastAsia="Calibri" w:hAnsi="Arial" w:cs="Arial"/>
                <w:lang w:val="es-MX"/>
              </w:rPr>
            </w:pPr>
            <w:r w:rsidRPr="001F2D25">
              <w:rPr>
                <w:rFonts w:ascii="Arial" w:eastAsia="Calibri" w:hAnsi="Arial" w:cs="Arial"/>
                <w:lang w:val="es-MX"/>
              </w:rPr>
              <w:t xml:space="preserve">Proferir auto donde debe pronunciarse sobre las pruebas cuando a ello hubiere lugar, aplicando el artículo 173 del CGP. </w:t>
            </w:r>
          </w:p>
          <w:p w:rsidR="00CC1CEE" w:rsidRPr="001F2D25" w:rsidRDefault="00CC1CEE" w:rsidP="00CC1CEE">
            <w:pPr>
              <w:pStyle w:val="Sinespaciado"/>
              <w:numPr>
                <w:ilvl w:val="0"/>
                <w:numId w:val="2"/>
              </w:numPr>
              <w:jc w:val="both"/>
              <w:rPr>
                <w:rFonts w:ascii="Arial" w:eastAsia="Calibri" w:hAnsi="Arial" w:cs="Arial"/>
                <w:lang w:val="es-MX"/>
              </w:rPr>
            </w:pPr>
            <w:r w:rsidRPr="001F2D25">
              <w:rPr>
                <w:rFonts w:ascii="Arial" w:eastAsia="Calibri" w:hAnsi="Arial" w:cs="Arial"/>
                <w:lang w:val="es-MX"/>
              </w:rPr>
              <w:t xml:space="preserve">En la misma providencia debe fijar el litigio u objeto de la controversia. </w:t>
            </w:r>
          </w:p>
          <w:p w:rsidR="00CC1CEE" w:rsidRPr="001F2D25" w:rsidRDefault="00CC1CEE" w:rsidP="00642D0B">
            <w:pPr>
              <w:pStyle w:val="Sinespaciado"/>
              <w:jc w:val="both"/>
              <w:rPr>
                <w:rFonts w:ascii="Arial" w:eastAsia="Calibri" w:hAnsi="Arial" w:cs="Arial"/>
                <w:lang w:val="es-MX"/>
              </w:rPr>
            </w:pPr>
          </w:p>
          <w:p w:rsidR="00CC1CEE" w:rsidRPr="001F2D25" w:rsidRDefault="00CC1CEE" w:rsidP="00642D0B">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rsidR="00CC1CEE" w:rsidRPr="001F2D25" w:rsidRDefault="00CC1CEE" w:rsidP="00642D0B">
            <w:pPr>
              <w:pStyle w:val="Sinespaciado"/>
              <w:jc w:val="both"/>
              <w:rPr>
                <w:rFonts w:ascii="Arial" w:eastAsia="Calibri" w:hAnsi="Arial" w:cs="Arial"/>
                <w:lang w:val="es-MX"/>
              </w:rPr>
            </w:pPr>
          </w:p>
          <w:p w:rsidR="00CC1CEE" w:rsidRPr="001F2D25" w:rsidRDefault="00CC1CEE" w:rsidP="00CC1CEE">
            <w:pPr>
              <w:pStyle w:val="Sinespaciado"/>
              <w:numPr>
                <w:ilvl w:val="0"/>
                <w:numId w:val="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p>
          <w:p w:rsidR="00CC1CEE" w:rsidRPr="001F2D25" w:rsidRDefault="00CC1CEE" w:rsidP="00642D0B">
            <w:pPr>
              <w:pStyle w:val="Sinespaciado"/>
              <w:ind w:left="720"/>
              <w:jc w:val="both"/>
              <w:rPr>
                <w:rFonts w:ascii="Arial" w:eastAsia="Calibri" w:hAnsi="Arial" w:cs="Arial"/>
                <w:lang w:val="es-MX"/>
              </w:rPr>
            </w:pPr>
          </w:p>
          <w:p w:rsidR="00CC1CEE" w:rsidRPr="001F2D25" w:rsidRDefault="00CC1CEE" w:rsidP="00CC1CEE">
            <w:pPr>
              <w:pStyle w:val="Sinespaciado"/>
              <w:numPr>
                <w:ilvl w:val="0"/>
                <w:numId w:val="2"/>
              </w:numPr>
              <w:jc w:val="both"/>
              <w:rPr>
                <w:rFonts w:ascii="Arial" w:eastAsia="Calibri" w:hAnsi="Arial" w:cs="Arial"/>
                <w:lang w:val="es-MX"/>
              </w:rPr>
            </w:pPr>
            <w:r w:rsidRPr="001F2D25">
              <w:rPr>
                <w:rFonts w:ascii="Arial" w:eastAsia="Calibri" w:hAnsi="Arial" w:cs="Arial"/>
                <w:lang w:val="es-MX"/>
              </w:rPr>
              <w:t xml:space="preserve">En la providencia que así lo ordene, se debe indicar la razón, o razones, por la cual se dictará sentencia anticipada, la cual se expedirá por escrito posteriormente.  </w:t>
            </w:r>
          </w:p>
          <w:p w:rsidR="00CC1CEE" w:rsidRPr="001F2D25" w:rsidRDefault="00CC1CEE" w:rsidP="00642D0B">
            <w:pPr>
              <w:pStyle w:val="Sinespaciado"/>
              <w:jc w:val="both"/>
              <w:rPr>
                <w:rFonts w:ascii="Arial" w:eastAsia="Calibri" w:hAnsi="Arial" w:cs="Arial"/>
                <w:lang w:val="es-MX"/>
              </w:rPr>
            </w:pPr>
          </w:p>
          <w:p w:rsidR="00CC1CEE" w:rsidRPr="001F2D25" w:rsidRDefault="00CC1CEE" w:rsidP="00CC1CEE">
            <w:pPr>
              <w:pStyle w:val="Sinespaciado"/>
              <w:numPr>
                <w:ilvl w:val="0"/>
                <w:numId w:val="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rsidR="00CC1CEE" w:rsidRPr="001F2D25" w:rsidRDefault="00CC1CEE" w:rsidP="00642D0B">
            <w:pPr>
              <w:pStyle w:val="Sinespaciado"/>
              <w:rPr>
                <w:rFonts w:ascii="Arial" w:eastAsia="Calibri" w:hAnsi="Arial" w:cs="Arial"/>
                <w:lang w:val="es-MX"/>
              </w:rPr>
            </w:pPr>
          </w:p>
          <w:p w:rsidR="00CC1CEE" w:rsidRPr="001F2D25" w:rsidRDefault="00CC1CEE" w:rsidP="00642D0B">
            <w:pPr>
              <w:pStyle w:val="Sinespaciado"/>
              <w:jc w:val="both"/>
              <w:rPr>
                <w:rFonts w:ascii="Arial" w:eastAsia="Calibri" w:hAnsi="Arial" w:cs="Arial"/>
                <w:b/>
                <w:i/>
                <w:sz w:val="18"/>
                <w:szCs w:val="18"/>
                <w:lang w:val="es-MX"/>
              </w:rPr>
            </w:pPr>
            <w:r w:rsidRPr="001F2D25">
              <w:rPr>
                <w:rFonts w:ascii="Arial" w:eastAsia="Calibri" w:hAnsi="Arial" w:cs="Arial"/>
                <w:b/>
                <w:i/>
                <w:sz w:val="18"/>
                <w:szCs w:val="18"/>
                <w:lang w:val="es-MX"/>
              </w:rPr>
              <w:t xml:space="preserve">Nota: </w:t>
            </w:r>
          </w:p>
          <w:p w:rsidR="00CC1CEE" w:rsidRPr="001F2D25" w:rsidRDefault="00CC1CEE" w:rsidP="00642D0B">
            <w:pPr>
              <w:jc w:val="both"/>
              <w:rPr>
                <w:rFonts w:ascii="Arial" w:eastAsia="Calibri" w:hAnsi="Arial" w:cs="Arial"/>
                <w:i/>
                <w:sz w:val="18"/>
                <w:szCs w:val="18"/>
                <w:lang w:val="es-MX"/>
              </w:rPr>
            </w:pPr>
            <w:r w:rsidRPr="001F2D25">
              <w:rPr>
                <w:rFonts w:ascii="Arial" w:eastAsia="Calibri" w:hAnsi="Arial" w:cs="Arial"/>
                <w:i/>
                <w:sz w:val="18"/>
                <w:szCs w:val="18"/>
                <w:lang w:val="es-MX"/>
              </w:rPr>
              <w:t xml:space="preserve">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Consejera Ponente: Sandra Lisset Ibarra Vélez. veintiuno (21) de junio de dos mil veintiuno (2021). Referencia del expediente: 11001032500020180079100 (3026-2018). </w:t>
            </w:r>
          </w:p>
        </w:tc>
      </w:tr>
      <w:tr w:rsidR="00CC1CEE" w:rsidRPr="001F2D25" w:rsidTr="00642D0B">
        <w:trPr>
          <w:trHeight w:val="363"/>
        </w:trPr>
        <w:tc>
          <w:tcPr>
            <w:tcW w:w="9598" w:type="dxa"/>
          </w:tcPr>
          <w:p w:rsidR="00CC1CEE" w:rsidRPr="001F2D25" w:rsidRDefault="00CC1CEE" w:rsidP="00CC1CEE">
            <w:pPr>
              <w:pStyle w:val="Sinespaciado"/>
              <w:numPr>
                <w:ilvl w:val="0"/>
                <w:numId w:val="1"/>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rsidR="00CC1CEE" w:rsidRPr="001F2D25" w:rsidRDefault="00CC1CEE" w:rsidP="00642D0B">
            <w:pPr>
              <w:pStyle w:val="Sinespaciado"/>
              <w:rPr>
                <w:rFonts w:ascii="Arial" w:eastAsia="Calibri" w:hAnsi="Arial" w:cs="Arial"/>
                <w:b/>
                <w:lang w:val="es-MX"/>
              </w:rPr>
            </w:pPr>
          </w:p>
          <w:p w:rsidR="00CC1CEE" w:rsidRPr="001F2D25" w:rsidRDefault="00CC1CEE" w:rsidP="00642D0B">
            <w:pPr>
              <w:pStyle w:val="Sinespaciado"/>
              <w:rPr>
                <w:rFonts w:ascii="Arial" w:eastAsia="Calibri" w:hAnsi="Arial" w:cs="Arial"/>
                <w:lang w:val="es-MX"/>
              </w:rPr>
            </w:pPr>
            <w:r w:rsidRPr="001F2D25">
              <w:rPr>
                <w:rFonts w:ascii="Arial" w:eastAsia="Calibri" w:hAnsi="Arial" w:cs="Arial"/>
                <w:lang w:val="es-MX"/>
              </w:rPr>
              <w:t>(Numeral 2° del artículo 182A del CPACA)</w:t>
            </w:r>
          </w:p>
          <w:p w:rsidR="00CC1CEE" w:rsidRPr="001F2D25" w:rsidRDefault="00CC1CEE" w:rsidP="00642D0B">
            <w:pPr>
              <w:pStyle w:val="Sinespaciado"/>
              <w:rPr>
                <w:rFonts w:ascii="Arial" w:eastAsia="Calibri" w:hAnsi="Arial" w:cs="Arial"/>
                <w:lang w:val="es-MX"/>
              </w:rPr>
            </w:pPr>
          </w:p>
          <w:p w:rsidR="00CC1CEE" w:rsidRPr="001F2D25" w:rsidRDefault="00CC1CEE" w:rsidP="00642D0B">
            <w:pPr>
              <w:pStyle w:val="Sinespaciado"/>
              <w:rPr>
                <w:rFonts w:ascii="Arial" w:eastAsia="Calibri" w:hAnsi="Arial" w:cs="Arial"/>
                <w:lang w:val="es-MX"/>
              </w:rPr>
            </w:pPr>
          </w:p>
          <w:p w:rsidR="00CC1CEE" w:rsidRPr="001F2D25" w:rsidRDefault="00CC1CEE" w:rsidP="00642D0B">
            <w:pPr>
              <w:pStyle w:val="Sinespaciado"/>
              <w:rPr>
                <w:rFonts w:ascii="Arial" w:eastAsia="Calibri" w:hAnsi="Arial" w:cs="Arial"/>
                <w:lang w:val="es-MX"/>
              </w:rPr>
            </w:pPr>
            <w:r w:rsidRPr="001F2D25">
              <w:rPr>
                <w:rFonts w:ascii="Arial" w:eastAsia="Calibri" w:hAnsi="Arial" w:cs="Arial"/>
                <w:lang w:val="es-MX"/>
              </w:rPr>
              <w:t xml:space="preserve">Analizar las siguientes situaciones y proferir las decisiones que corresponde así: </w:t>
            </w:r>
          </w:p>
          <w:p w:rsidR="00CC1CEE" w:rsidRPr="001F2D25" w:rsidRDefault="00CC1CEE" w:rsidP="00642D0B">
            <w:pPr>
              <w:pStyle w:val="Sinespaciado"/>
              <w:rPr>
                <w:rFonts w:ascii="Arial" w:eastAsia="Calibri" w:hAnsi="Arial" w:cs="Arial"/>
                <w:lang w:val="es-MX"/>
              </w:rPr>
            </w:pPr>
          </w:p>
          <w:p w:rsidR="00CC1CEE" w:rsidRPr="001F2D25" w:rsidRDefault="00CC1CEE" w:rsidP="00CC1CEE">
            <w:pPr>
              <w:pStyle w:val="Sinespaciado"/>
              <w:numPr>
                <w:ilvl w:val="0"/>
                <w:numId w:val="3"/>
              </w:numPr>
              <w:jc w:val="both"/>
              <w:rPr>
                <w:rFonts w:ascii="Arial" w:hAnsi="Arial" w:cs="Arial"/>
                <w:iCs/>
              </w:rPr>
            </w:pPr>
            <w:r w:rsidRPr="001F2D25">
              <w:rPr>
                <w:rFonts w:ascii="Arial" w:hAnsi="Arial" w:cs="Arial"/>
                <w:iCs/>
              </w:rPr>
              <w:t>Si en el proceso intervienen litisconsortes necesarios, la petición deberá realizarse conjuntamente con estos;</w:t>
            </w:r>
          </w:p>
          <w:p w:rsidR="00CC1CEE" w:rsidRPr="001F2D25" w:rsidRDefault="00CC1CEE" w:rsidP="00642D0B">
            <w:pPr>
              <w:pStyle w:val="Sinespaciado"/>
              <w:ind w:left="720"/>
              <w:jc w:val="both"/>
              <w:rPr>
                <w:rFonts w:ascii="Arial" w:hAnsi="Arial" w:cs="Arial"/>
                <w:iCs/>
              </w:rPr>
            </w:pPr>
          </w:p>
          <w:p w:rsidR="00CC1CEE" w:rsidRPr="001F2D25" w:rsidRDefault="00CC1CEE" w:rsidP="00CC1CEE">
            <w:pPr>
              <w:pStyle w:val="Sinespaciado"/>
              <w:numPr>
                <w:ilvl w:val="0"/>
                <w:numId w:val="3"/>
              </w:numPr>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proferirá sentencia oral o escrita;</w:t>
            </w:r>
          </w:p>
          <w:p w:rsidR="00CC1CEE" w:rsidRPr="001F2D25" w:rsidRDefault="00CC1CEE" w:rsidP="00642D0B">
            <w:pPr>
              <w:pStyle w:val="Sinespaciado"/>
              <w:ind w:left="720"/>
              <w:jc w:val="both"/>
              <w:rPr>
                <w:rFonts w:ascii="Arial" w:hAnsi="Arial" w:cs="Arial"/>
                <w:iCs/>
              </w:rPr>
            </w:pPr>
          </w:p>
          <w:p w:rsidR="00CC1CEE" w:rsidRPr="001F2D25" w:rsidRDefault="00CC1CEE" w:rsidP="00CC1CEE">
            <w:pPr>
              <w:pStyle w:val="Sinespaciado"/>
              <w:numPr>
                <w:ilvl w:val="0"/>
                <w:numId w:val="3"/>
              </w:numPr>
              <w:jc w:val="both"/>
              <w:rPr>
                <w:rFonts w:ascii="Arial" w:hAnsi="Arial" w:cs="Arial"/>
                <w:iCs/>
              </w:rPr>
            </w:pPr>
            <w:r w:rsidRPr="001F2D25">
              <w:rPr>
                <w:rFonts w:ascii="Arial" w:hAnsi="Arial" w:cs="Arial"/>
                <w:iCs/>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rsidR="00CC1CEE" w:rsidRPr="001F2D25" w:rsidRDefault="00CC1CEE" w:rsidP="00642D0B">
            <w:pPr>
              <w:pStyle w:val="Sinespaciado"/>
              <w:ind w:left="720"/>
              <w:jc w:val="both"/>
              <w:rPr>
                <w:rFonts w:ascii="Arial" w:hAnsi="Arial" w:cs="Arial"/>
                <w:iCs/>
              </w:rPr>
            </w:pPr>
          </w:p>
          <w:p w:rsidR="00CC1CEE" w:rsidRPr="001F2D25" w:rsidRDefault="00CC1CEE" w:rsidP="00CC1CEE">
            <w:pPr>
              <w:pStyle w:val="Sinespaciado"/>
              <w:numPr>
                <w:ilvl w:val="0"/>
                <w:numId w:val="3"/>
              </w:numPr>
              <w:jc w:val="both"/>
              <w:rPr>
                <w:rFonts w:ascii="Arial" w:hAnsi="Arial" w:cs="Arial"/>
                <w:iCs/>
              </w:rPr>
            </w:pPr>
            <w:r w:rsidRPr="001F2D25">
              <w:rPr>
                <w:rFonts w:ascii="Arial" w:hAnsi="Arial" w:cs="Arial"/>
                <w:iCs/>
              </w:rPr>
              <w:lastRenderedPageBreak/>
              <w:t>Con la aceptación de esta petición por parte del juzgador, se entenderán desistidos los recursos que hubieren formulado los peticionarios contra decisiones interlocutorias que estén pendientes de tramitar o resolver; y</w:t>
            </w:r>
          </w:p>
          <w:p w:rsidR="00CC1CEE" w:rsidRPr="001F2D25" w:rsidRDefault="00CC1CEE" w:rsidP="00642D0B">
            <w:pPr>
              <w:pStyle w:val="Prrafodelista"/>
              <w:rPr>
                <w:rFonts w:ascii="Arial" w:hAnsi="Arial" w:cs="Arial"/>
                <w:iCs/>
              </w:rPr>
            </w:pPr>
          </w:p>
          <w:p w:rsidR="00CC1CEE" w:rsidRPr="001F2D25" w:rsidRDefault="00CC1CEE" w:rsidP="00CC1CEE">
            <w:pPr>
              <w:pStyle w:val="Sinespaciado"/>
              <w:numPr>
                <w:ilvl w:val="0"/>
                <w:numId w:val="3"/>
              </w:numPr>
              <w:jc w:val="both"/>
              <w:rPr>
                <w:rFonts w:ascii="Arial" w:hAnsi="Arial" w:cs="Arial"/>
                <w:iCs/>
              </w:rPr>
            </w:pPr>
            <w:r w:rsidRPr="001F2D25">
              <w:rPr>
                <w:rFonts w:ascii="Arial" w:hAnsi="Arial" w:cs="Arial"/>
                <w:iCs/>
              </w:rPr>
              <w:t>El juzgador rechazará la solicitud cuando advierta fraude o colusión</w:t>
            </w:r>
          </w:p>
          <w:p w:rsidR="00CC1CEE" w:rsidRPr="001F2D25" w:rsidRDefault="00CC1CEE" w:rsidP="00642D0B">
            <w:pPr>
              <w:pStyle w:val="Sinespaciado"/>
              <w:rPr>
                <w:rFonts w:ascii="Arial" w:eastAsia="Calibri" w:hAnsi="Arial" w:cs="Arial"/>
                <w:lang w:val="es-MX"/>
              </w:rPr>
            </w:pPr>
          </w:p>
          <w:p w:rsidR="00CC1CEE" w:rsidRPr="001F2D25" w:rsidRDefault="00CC1CEE" w:rsidP="00642D0B">
            <w:pPr>
              <w:pStyle w:val="Sinespaciado"/>
              <w:jc w:val="both"/>
              <w:rPr>
                <w:rFonts w:ascii="Arial" w:eastAsia="Calibri" w:hAnsi="Arial" w:cs="Arial"/>
                <w:i/>
                <w:sz w:val="18"/>
                <w:szCs w:val="18"/>
                <w:lang w:val="es-MX"/>
              </w:rPr>
            </w:pPr>
          </w:p>
          <w:p w:rsidR="00CC1CEE" w:rsidRPr="001F2D25" w:rsidRDefault="00CC1CEE" w:rsidP="00642D0B">
            <w:pPr>
              <w:pStyle w:val="Sinespaciado"/>
              <w:jc w:val="both"/>
              <w:rPr>
                <w:rFonts w:ascii="Arial" w:eastAsia="Calibri" w:hAnsi="Arial" w:cs="Arial"/>
                <w:i/>
                <w:sz w:val="18"/>
                <w:szCs w:val="18"/>
                <w:lang w:val="es-MX"/>
              </w:rPr>
            </w:pPr>
          </w:p>
        </w:tc>
      </w:tr>
      <w:tr w:rsidR="00CC1CEE" w:rsidRPr="001F2D25" w:rsidTr="00642D0B">
        <w:trPr>
          <w:trHeight w:val="363"/>
        </w:trPr>
        <w:tc>
          <w:tcPr>
            <w:tcW w:w="9598" w:type="dxa"/>
          </w:tcPr>
          <w:p w:rsidR="00CC1CEE" w:rsidRPr="001F2D25" w:rsidRDefault="00CC1CEE" w:rsidP="00CC1CEE">
            <w:pPr>
              <w:pStyle w:val="Sinespaciado"/>
              <w:numPr>
                <w:ilvl w:val="0"/>
                <w:numId w:val="1"/>
              </w:numPr>
              <w:jc w:val="both"/>
              <w:rPr>
                <w:rFonts w:ascii="Arial" w:eastAsia="Calibri" w:hAnsi="Arial" w:cs="Arial"/>
                <w:b/>
                <w:lang w:val="es-MX"/>
              </w:rPr>
            </w:pPr>
            <w:r w:rsidRPr="001F2D25">
              <w:rPr>
                <w:rFonts w:ascii="Arial" w:eastAsia="Calibri" w:hAnsi="Arial" w:cs="Arial"/>
                <w:b/>
                <w:lang w:val="es-MX"/>
              </w:rPr>
              <w:lastRenderedPageBreak/>
              <w:t>EN CUALQUIER ESTADO DEL PROCESO, CUANDO EL JUZGADOR ENCUENTRE PROBADA LA COSA JUZGADA, LA CADUCIDAD, LA TRANSACCIÓN, LA CONCILIACIÓN, LA FALTA MANIFIESTA DE LEGITIMACIÓN EN LA CAUSA Y LA PRESCRIPCIÓN EXTINTIVA</w:t>
            </w:r>
          </w:p>
          <w:p w:rsidR="00CC1CEE" w:rsidRPr="001F2D25" w:rsidRDefault="00CC1CEE" w:rsidP="00642D0B">
            <w:pPr>
              <w:pStyle w:val="Sinespaciado"/>
              <w:rPr>
                <w:rFonts w:ascii="Arial" w:eastAsia="Calibri" w:hAnsi="Arial" w:cs="Arial"/>
                <w:lang w:val="es-MX"/>
              </w:rPr>
            </w:pPr>
          </w:p>
          <w:p w:rsidR="00CC1CEE" w:rsidRPr="00D05E90" w:rsidRDefault="00CC1CEE" w:rsidP="00642D0B">
            <w:pPr>
              <w:pStyle w:val="Sinespaciado"/>
              <w:rPr>
                <w:rFonts w:ascii="Arial" w:eastAsia="Calibri" w:hAnsi="Arial" w:cs="Arial"/>
                <w:b/>
                <w:bCs/>
                <w:lang w:val="es-MX"/>
              </w:rPr>
            </w:pPr>
            <w:r w:rsidRPr="001F2D25">
              <w:rPr>
                <w:rFonts w:ascii="Arial" w:eastAsia="Calibri" w:hAnsi="Arial" w:cs="Arial"/>
                <w:lang w:val="es-MX"/>
              </w:rPr>
              <w:t>(Numeral 3° del artículo 182A del CPACA)</w:t>
            </w:r>
            <w:r w:rsidR="00D05E90">
              <w:rPr>
                <w:rFonts w:ascii="Arial" w:eastAsia="Calibri" w:hAnsi="Arial" w:cs="Arial"/>
                <w:lang w:val="es-MX"/>
              </w:rPr>
              <w:t xml:space="preserve"> </w:t>
            </w:r>
            <w:r w:rsidR="00D05E90">
              <w:rPr>
                <w:rFonts w:ascii="Arial" w:eastAsia="Calibri" w:hAnsi="Arial" w:cs="Arial"/>
                <w:b/>
                <w:bCs/>
                <w:lang w:val="es-MX"/>
              </w:rPr>
              <w:t>(APLICA EN EL PRESENTE ASUNTO POR ENCONTRARSE PROBADA LA CADUCIDAD DEL MEDIO DE CONTROL).</w:t>
            </w:r>
          </w:p>
          <w:p w:rsidR="00CC1CEE" w:rsidRPr="001F2D25" w:rsidRDefault="00CC1CEE" w:rsidP="00642D0B">
            <w:pPr>
              <w:pStyle w:val="Sinespaciado"/>
              <w:rPr>
                <w:rFonts w:ascii="Arial" w:eastAsia="Calibri" w:hAnsi="Arial" w:cs="Arial"/>
                <w:lang w:val="es-MX"/>
              </w:rPr>
            </w:pPr>
          </w:p>
          <w:p w:rsidR="00CC1CEE" w:rsidRPr="001F2D25" w:rsidRDefault="00CC1CEE" w:rsidP="00642D0B">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rsidR="00CC1CEE" w:rsidRPr="001F2D25" w:rsidRDefault="00CC1CEE" w:rsidP="00642D0B">
            <w:pPr>
              <w:pStyle w:val="Sinespaciado"/>
              <w:rPr>
                <w:rFonts w:ascii="Arial" w:eastAsia="Calibri" w:hAnsi="Arial" w:cs="Arial"/>
                <w:lang w:val="es-MX"/>
              </w:rPr>
            </w:pPr>
          </w:p>
          <w:p w:rsidR="00CC1CEE" w:rsidRPr="001F2D25" w:rsidRDefault="00CC1CEE" w:rsidP="00CC1CEE">
            <w:pPr>
              <w:pStyle w:val="Sinespaciado"/>
              <w:numPr>
                <w:ilvl w:val="0"/>
                <w:numId w:val="4"/>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rsidR="00CC1CEE" w:rsidRPr="001F2D25" w:rsidRDefault="00CC1CEE" w:rsidP="00642D0B">
            <w:pPr>
              <w:pStyle w:val="Sinespaciado"/>
              <w:ind w:left="720"/>
              <w:jc w:val="both"/>
              <w:rPr>
                <w:rFonts w:ascii="Arial" w:hAnsi="Arial" w:cs="Arial"/>
                <w:iCs/>
              </w:rPr>
            </w:pPr>
          </w:p>
          <w:p w:rsidR="00CC1CEE" w:rsidRPr="001F2D25" w:rsidRDefault="00CC1CEE" w:rsidP="00CC1CEE">
            <w:pPr>
              <w:pStyle w:val="Sinespaciado"/>
              <w:numPr>
                <w:ilvl w:val="0"/>
                <w:numId w:val="4"/>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rsidR="00CC1CEE" w:rsidRPr="001F2D25" w:rsidRDefault="00CC1CEE" w:rsidP="00642D0B">
            <w:pPr>
              <w:pStyle w:val="Sinespaciado"/>
              <w:ind w:left="720"/>
              <w:jc w:val="both"/>
              <w:rPr>
                <w:rFonts w:ascii="Arial" w:hAnsi="Arial" w:cs="Arial"/>
                <w:iCs/>
              </w:rPr>
            </w:pPr>
          </w:p>
          <w:p w:rsidR="00CC1CEE" w:rsidRPr="001F2D25" w:rsidRDefault="00CC1CEE" w:rsidP="00642D0B">
            <w:pPr>
              <w:pStyle w:val="Sinespaciado"/>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CC1CEE" w:rsidRPr="001F2D25" w:rsidTr="00642D0B">
        <w:trPr>
          <w:trHeight w:val="363"/>
        </w:trPr>
        <w:tc>
          <w:tcPr>
            <w:tcW w:w="9598" w:type="dxa"/>
          </w:tcPr>
          <w:p w:rsidR="00CC1CEE" w:rsidRPr="001F2D25" w:rsidRDefault="00CC1CEE" w:rsidP="00CC1CEE">
            <w:pPr>
              <w:pStyle w:val="Sinespaciado"/>
              <w:numPr>
                <w:ilvl w:val="0"/>
                <w:numId w:val="1"/>
              </w:numPr>
              <w:rPr>
                <w:rFonts w:ascii="Arial" w:eastAsia="Calibri" w:hAnsi="Arial" w:cs="Arial"/>
                <w:b/>
                <w:lang w:val="es-MX"/>
              </w:rPr>
            </w:pPr>
            <w:r w:rsidRPr="001F2D25">
              <w:rPr>
                <w:rFonts w:ascii="Arial" w:eastAsia="Calibri" w:hAnsi="Arial" w:cs="Arial"/>
                <w:b/>
                <w:lang w:val="es-MX"/>
              </w:rPr>
              <w:t xml:space="preserve">EN CASO DE ALLANAMIENTO O TRANSACCIÓN </w:t>
            </w:r>
          </w:p>
          <w:p w:rsidR="00CC1CEE" w:rsidRPr="001F2D25" w:rsidRDefault="00CC1CEE" w:rsidP="00642D0B">
            <w:pPr>
              <w:pStyle w:val="Sinespaciado"/>
              <w:rPr>
                <w:rFonts w:ascii="Arial" w:eastAsia="Calibri" w:hAnsi="Arial" w:cs="Arial"/>
                <w:lang w:val="es-MX"/>
              </w:rPr>
            </w:pPr>
          </w:p>
          <w:p w:rsidR="00CC1CEE" w:rsidRPr="001F2D25" w:rsidRDefault="00CC1CEE" w:rsidP="00642D0B">
            <w:pPr>
              <w:pStyle w:val="Sinespaciado"/>
              <w:rPr>
                <w:rFonts w:ascii="Arial" w:eastAsia="Calibri" w:hAnsi="Arial" w:cs="Arial"/>
                <w:lang w:val="es-MX"/>
              </w:rPr>
            </w:pPr>
            <w:r w:rsidRPr="001F2D25">
              <w:rPr>
                <w:rFonts w:ascii="Arial" w:eastAsia="Calibri" w:hAnsi="Arial" w:cs="Arial"/>
                <w:lang w:val="es-MX"/>
              </w:rPr>
              <w:t>(Numeral 4° del artículo 182A del CPACA)</w:t>
            </w:r>
          </w:p>
          <w:p w:rsidR="00CC1CEE" w:rsidRPr="001F2D25" w:rsidRDefault="00CC1CEE" w:rsidP="00642D0B">
            <w:pPr>
              <w:pStyle w:val="Sinespaciado"/>
              <w:rPr>
                <w:rFonts w:ascii="Arial" w:eastAsia="Calibri" w:hAnsi="Arial" w:cs="Arial"/>
                <w:lang w:val="es-MX"/>
              </w:rPr>
            </w:pPr>
          </w:p>
          <w:p w:rsidR="00CC1CEE" w:rsidRPr="001F2D25" w:rsidRDefault="00CC1CEE" w:rsidP="00642D0B">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rsidR="00CC1CEE" w:rsidRPr="001F2D25" w:rsidRDefault="00CC1CEE" w:rsidP="00642D0B">
            <w:pPr>
              <w:pStyle w:val="Sinespaciado"/>
              <w:rPr>
                <w:rFonts w:ascii="Arial" w:eastAsia="Calibri" w:hAnsi="Arial" w:cs="Arial"/>
                <w:lang w:val="es-MX"/>
              </w:rPr>
            </w:pPr>
          </w:p>
          <w:p w:rsidR="00CC1CEE" w:rsidRPr="001F2D25" w:rsidRDefault="00CC1CEE" w:rsidP="00CC1CEE">
            <w:pPr>
              <w:pStyle w:val="Sinespaciado"/>
              <w:numPr>
                <w:ilvl w:val="0"/>
                <w:numId w:val="5"/>
              </w:numPr>
              <w:jc w:val="both"/>
              <w:rPr>
                <w:rFonts w:ascii="Arial" w:hAnsi="Arial" w:cs="Arial"/>
                <w:iCs/>
              </w:rPr>
            </w:pPr>
            <w:r w:rsidRPr="001F2D25">
              <w:rPr>
                <w:rFonts w:ascii="Arial" w:hAnsi="Arial" w:cs="Arial"/>
                <w:iCs/>
              </w:rPr>
              <w:t>Se dictará sentencia anticipada de manera inmediata, en aplicación del artículo 176 del CPACA; pero</w:t>
            </w:r>
          </w:p>
          <w:p w:rsidR="00CC1CEE" w:rsidRPr="001F2D25" w:rsidRDefault="00CC1CEE" w:rsidP="00642D0B">
            <w:pPr>
              <w:pStyle w:val="Sinespaciado"/>
              <w:ind w:left="720"/>
              <w:jc w:val="both"/>
              <w:rPr>
                <w:rFonts w:ascii="Arial" w:hAnsi="Arial" w:cs="Arial"/>
                <w:iCs/>
              </w:rPr>
            </w:pPr>
          </w:p>
          <w:p w:rsidR="00CC1CEE" w:rsidRPr="001F2D25" w:rsidRDefault="00CC1CEE" w:rsidP="00CC1CEE">
            <w:pPr>
              <w:pStyle w:val="Sinespaciado"/>
              <w:numPr>
                <w:ilvl w:val="0"/>
                <w:numId w:val="5"/>
              </w:numPr>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rsidR="00CC1CEE" w:rsidRPr="001F2D25" w:rsidRDefault="00CC1CEE" w:rsidP="00642D0B">
            <w:pPr>
              <w:pStyle w:val="Sinespaciado"/>
              <w:ind w:left="720"/>
              <w:jc w:val="both"/>
              <w:rPr>
                <w:rFonts w:ascii="Arial" w:hAnsi="Arial" w:cs="Arial"/>
                <w:iCs/>
              </w:rPr>
            </w:pPr>
          </w:p>
          <w:p w:rsidR="00CC1CEE" w:rsidRPr="001F2D25" w:rsidRDefault="00CC1CEE" w:rsidP="00CC1CEE">
            <w:pPr>
              <w:pStyle w:val="Sinespaciado"/>
              <w:numPr>
                <w:ilvl w:val="0"/>
                <w:numId w:val="5"/>
              </w:numPr>
              <w:jc w:val="both"/>
              <w:rPr>
                <w:rFonts w:ascii="Arial" w:hAnsi="Arial" w:cs="Arial"/>
                <w:iCs/>
              </w:rPr>
            </w:pPr>
            <w:r w:rsidRPr="001F2D25">
              <w:rPr>
                <w:rFonts w:ascii="Arial" w:hAnsi="Arial" w:cs="Arial"/>
                <w:iCs/>
              </w:rPr>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rsidR="00CC1CEE" w:rsidRPr="001F2D25" w:rsidRDefault="00CC1CEE" w:rsidP="00642D0B">
            <w:pPr>
              <w:pStyle w:val="Sinespaciado"/>
              <w:rPr>
                <w:rFonts w:ascii="Arial" w:eastAsia="Calibri" w:hAnsi="Arial" w:cs="Arial"/>
                <w:lang w:val="es-MX"/>
              </w:rPr>
            </w:pPr>
          </w:p>
          <w:p w:rsidR="00CC1CEE" w:rsidRPr="001F2D25" w:rsidRDefault="00CC1CEE" w:rsidP="00642D0B">
            <w:pPr>
              <w:pStyle w:val="Sinespaciado"/>
              <w:rPr>
                <w:rFonts w:ascii="Arial" w:eastAsia="Calibri" w:hAnsi="Arial" w:cs="Arial"/>
                <w:lang w:val="es-MX"/>
              </w:rPr>
            </w:pPr>
          </w:p>
        </w:tc>
      </w:tr>
    </w:tbl>
    <w:p w:rsidR="00CC1CEE" w:rsidRPr="001F2D25" w:rsidRDefault="00CC1CEE" w:rsidP="00CC1CEE">
      <w:pPr>
        <w:pStyle w:val="Sinespaciado"/>
        <w:ind w:left="-1134"/>
        <w:rPr>
          <w:rFonts w:ascii="Arial" w:eastAsia="Calibri" w:hAnsi="Arial" w:cs="Arial"/>
          <w:lang w:val="es-MX"/>
        </w:rPr>
      </w:pPr>
    </w:p>
    <w:p w:rsidR="00CC1CEE" w:rsidRPr="001F2D25" w:rsidRDefault="00CC1CEE" w:rsidP="00CC1CEE">
      <w:pPr>
        <w:rPr>
          <w:rFonts w:ascii="Arial" w:hAnsi="Arial" w:cs="Arial"/>
        </w:rPr>
      </w:pPr>
    </w:p>
    <w:p w:rsidR="00CC1CEE" w:rsidRPr="001F2D25" w:rsidRDefault="00CC1CEE" w:rsidP="00CC1CEE">
      <w:pPr>
        <w:rPr>
          <w:rFonts w:ascii="Arial" w:hAnsi="Arial" w:cs="Arial"/>
        </w:rPr>
      </w:pPr>
    </w:p>
    <w:p w:rsidR="00CC1CEE" w:rsidRPr="001F2D25" w:rsidRDefault="00CC1CEE" w:rsidP="00CC1CEE">
      <w:pPr>
        <w:rPr>
          <w:rFonts w:ascii="Arial" w:hAnsi="Arial" w:cs="Arial"/>
        </w:rPr>
      </w:pPr>
    </w:p>
    <w:p w:rsidR="0026384E" w:rsidRDefault="0026384E"/>
    <w:sectPr w:rsidR="0026384E" w:rsidSect="00B737D7">
      <w:footerReference w:type="default" r:id="rId8"/>
      <w:footerReference w:type="first" r:id="rId9"/>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C661F" w:rsidRDefault="00AC661F">
      <w:pPr>
        <w:spacing w:after="0" w:line="240" w:lineRule="auto"/>
      </w:pPr>
      <w:r>
        <w:separator/>
      </w:r>
    </w:p>
  </w:endnote>
  <w:endnote w:type="continuationSeparator" w:id="0">
    <w:p w:rsidR="00AC661F" w:rsidRDefault="00AC66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0566093"/>
      <w:docPartObj>
        <w:docPartGallery w:val="Page Numbers (Bottom of Page)"/>
        <w:docPartUnique/>
      </w:docPartObj>
    </w:sdtPr>
    <w:sdtEndPr/>
    <w:sdtContent>
      <w:p w:rsidR="00224C42" w:rsidRDefault="00D05E90">
        <w:pPr>
          <w:pStyle w:val="Piedepgina"/>
          <w:jc w:val="right"/>
        </w:pPr>
        <w:r>
          <w:fldChar w:fldCharType="begin"/>
        </w:r>
        <w:r>
          <w:instrText>PAGE   \* MERGEFORMAT</w:instrText>
        </w:r>
        <w:r>
          <w:fldChar w:fldCharType="separate"/>
        </w:r>
        <w:r w:rsidRPr="00306339">
          <w:rPr>
            <w:noProof/>
            <w:lang w:val="es-ES"/>
          </w:rPr>
          <w:t>3</w:t>
        </w:r>
        <w:r>
          <w:fldChar w:fldCharType="end"/>
        </w:r>
      </w:p>
    </w:sdtContent>
  </w:sdt>
  <w:p w:rsidR="00224C42" w:rsidRDefault="00AC661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4958699"/>
      <w:docPartObj>
        <w:docPartGallery w:val="Page Numbers (Bottom of Page)"/>
        <w:docPartUnique/>
      </w:docPartObj>
    </w:sdtPr>
    <w:sdtEndPr/>
    <w:sdtContent>
      <w:p w:rsidR="00224C42" w:rsidRDefault="00D05E90">
        <w:pPr>
          <w:pStyle w:val="Piedepgina"/>
          <w:jc w:val="right"/>
        </w:pPr>
        <w:r>
          <w:fldChar w:fldCharType="begin"/>
        </w:r>
        <w:r>
          <w:instrText>PAGE   \* MERGEFORMAT</w:instrText>
        </w:r>
        <w:r>
          <w:fldChar w:fldCharType="separate"/>
        </w:r>
        <w:r w:rsidRPr="00306339">
          <w:rPr>
            <w:noProof/>
            <w:lang w:val="es-ES"/>
          </w:rPr>
          <w:t>1</w:t>
        </w:r>
        <w:r>
          <w:fldChar w:fldCharType="end"/>
        </w:r>
      </w:p>
    </w:sdtContent>
  </w:sdt>
  <w:p w:rsidR="00224C42" w:rsidRDefault="00AC661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C661F" w:rsidRDefault="00AC661F">
      <w:pPr>
        <w:spacing w:after="0" w:line="240" w:lineRule="auto"/>
      </w:pPr>
      <w:r>
        <w:separator/>
      </w:r>
    </w:p>
  </w:footnote>
  <w:footnote w:type="continuationSeparator" w:id="0">
    <w:p w:rsidR="00AC661F" w:rsidRDefault="00AC66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CEE"/>
    <w:rsid w:val="0026384E"/>
    <w:rsid w:val="003A645C"/>
    <w:rsid w:val="004B660D"/>
    <w:rsid w:val="00835A81"/>
    <w:rsid w:val="00AC661F"/>
    <w:rsid w:val="00CC1CEE"/>
    <w:rsid w:val="00D05E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8BEE2"/>
  <w15:chartTrackingRefBased/>
  <w15:docId w15:val="{5B739E42-CE63-46AD-B208-39371905A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CC1CEE"/>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CC1CEE"/>
    <w:pPr>
      <w:spacing w:after="0" w:line="240" w:lineRule="auto"/>
    </w:pPr>
    <w:rPr>
      <w:rFonts w:eastAsiaTheme="minorEastAsia"/>
      <w:lang w:val="es-CO"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CC1CEE"/>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CC1CE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C1CEE"/>
    <w:rPr>
      <w:rFonts w:eastAsiaTheme="minorEastAsia"/>
      <w:lang w:val="es-CO" w:eastAsia="es-CO"/>
    </w:rPr>
  </w:style>
  <w:style w:type="character" w:customStyle="1" w:styleId="SinespaciadoCar">
    <w:name w:val="Sin espaciado Car"/>
    <w:link w:val="Sinespaciado"/>
    <w:uiPriority w:val="1"/>
    <w:rsid w:val="00CC1CEE"/>
    <w:rPr>
      <w:rFonts w:eastAsiaTheme="minorEastAsia"/>
      <w:lang w:val="es-CO" w:eastAsia="es-CO"/>
    </w:rPr>
  </w:style>
  <w:style w:type="paragraph" w:styleId="Prrafodelista">
    <w:name w:val="List Paragraph"/>
    <w:basedOn w:val="Normal"/>
    <w:uiPriority w:val="34"/>
    <w:qFormat/>
    <w:rsid w:val="00CC1C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941</Words>
  <Characters>5176</Characters>
  <Application>Microsoft Office Word</Application>
  <DocSecurity>0</DocSecurity>
  <Lines>43</Lines>
  <Paragraphs>12</Paragraphs>
  <ScaleCrop>false</ScaleCrop>
  <Company/>
  <LinksUpToDate>false</LinksUpToDate>
  <CharactersWithSpaces>6105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Edher Daniel Rueda Duran</dc:creator>
  <cp:keywords/>
  <dc:description/>
  <cp:lastModifiedBy>Edher Daniel Rueda Duran</cp:lastModifiedBy>
  <cp:revision>3</cp:revision>
  <dcterms:created xsi:type="dcterms:W3CDTF">2021-09-06T02:40:00Z</dcterms:created>
  <dcterms:modified xsi:type="dcterms:W3CDTF">2021-09-06T02:49:00Z</dcterms:modified>
</cp:coreProperties>
</file>