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D04F381"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1A33F2">
        <w:rPr>
          <w:rFonts w:ascii="Arial" w:eastAsia="Calibri" w:hAnsi="Arial" w:cs="Arial"/>
          <w:lang w:val="es-MX"/>
        </w:rPr>
        <w:t xml:space="preserve"> Ángela Patricia Cañón Molano</w:t>
      </w:r>
    </w:p>
    <w:p w14:paraId="5F7DBDD4" w14:textId="15A635A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1A33F2">
        <w:rPr>
          <w:rFonts w:ascii="Arial" w:hAnsi="Arial" w:cs="Arial"/>
          <w:lang w:val="es-MX"/>
        </w:rPr>
        <w:t>03/09/2021</w:t>
      </w:r>
    </w:p>
    <w:p w14:paraId="75E84AC6" w14:textId="5ED2111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1A33F2">
        <w:rPr>
          <w:rFonts w:ascii="Arial" w:hAnsi="Arial" w:cs="Arial"/>
          <w:lang w:val="es-MX"/>
        </w:rPr>
        <w:t>Nulidad y restablecimiento del derecho</w:t>
      </w:r>
    </w:p>
    <w:p w14:paraId="6B89892F" w14:textId="2BF9CAB2"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1A33F2">
        <w:rPr>
          <w:rFonts w:ascii="Arial" w:hAnsi="Arial" w:cs="Arial"/>
          <w:lang w:val="es-MX"/>
        </w:rPr>
        <w:t xml:space="preserve"> </w:t>
      </w:r>
      <w:proofErr w:type="spellStart"/>
      <w:r w:rsidR="001A33F2">
        <w:rPr>
          <w:rFonts w:ascii="Arial" w:hAnsi="Arial" w:cs="Arial"/>
          <w:lang w:val="es-MX"/>
        </w:rPr>
        <w:t>Maria</w:t>
      </w:r>
      <w:proofErr w:type="spellEnd"/>
      <w:r w:rsidR="001A33F2">
        <w:rPr>
          <w:rFonts w:ascii="Arial" w:hAnsi="Arial" w:cs="Arial"/>
          <w:lang w:val="es-MX"/>
        </w:rPr>
        <w:t xml:space="preserve"> Pepita León </w:t>
      </w:r>
      <w:proofErr w:type="spellStart"/>
      <w:r w:rsidR="001A33F2">
        <w:rPr>
          <w:rFonts w:ascii="Arial" w:hAnsi="Arial" w:cs="Arial"/>
          <w:lang w:val="es-MX"/>
        </w:rPr>
        <w:t>Rodriguez</w:t>
      </w:r>
      <w:proofErr w:type="spellEnd"/>
    </w:p>
    <w:p w14:paraId="1660C8A3" w14:textId="7C48A0D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1A33F2">
        <w:rPr>
          <w:rFonts w:ascii="Arial" w:hAnsi="Arial" w:cs="Arial"/>
          <w:lang w:val="es-MX"/>
        </w:rPr>
        <w:t xml:space="preserve"> Nación – Ministerio de Educación – </w:t>
      </w:r>
      <w:r w:rsidR="00941497">
        <w:rPr>
          <w:rFonts w:ascii="Arial" w:hAnsi="Arial" w:cs="Arial"/>
          <w:lang w:val="es-MX"/>
        </w:rPr>
        <w:t>F</w:t>
      </w:r>
      <w:r w:rsidR="001A33F2">
        <w:rPr>
          <w:rFonts w:ascii="Arial" w:hAnsi="Arial" w:cs="Arial"/>
          <w:lang w:val="es-MX"/>
        </w:rPr>
        <w:t xml:space="preserve">ondo de </w:t>
      </w:r>
      <w:r w:rsidR="00941497">
        <w:rPr>
          <w:rFonts w:ascii="Arial" w:hAnsi="Arial" w:cs="Arial"/>
          <w:lang w:val="es-MX"/>
        </w:rPr>
        <w:t>P</w:t>
      </w:r>
      <w:r w:rsidR="001A33F2">
        <w:rPr>
          <w:rFonts w:ascii="Arial" w:hAnsi="Arial" w:cs="Arial"/>
          <w:lang w:val="es-MX"/>
        </w:rPr>
        <w:t xml:space="preserve">restaciones </w:t>
      </w:r>
      <w:r w:rsidR="00941497">
        <w:rPr>
          <w:rFonts w:ascii="Arial" w:hAnsi="Arial" w:cs="Arial"/>
          <w:lang w:val="es-MX"/>
        </w:rPr>
        <w:t>S</w:t>
      </w:r>
      <w:r w:rsidR="001A33F2">
        <w:rPr>
          <w:rFonts w:ascii="Arial" w:hAnsi="Arial" w:cs="Arial"/>
          <w:lang w:val="es-MX"/>
        </w:rPr>
        <w:t>ociales del Magisterio – Fiduciaria La Previsora S.A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094EF794" w:rsidR="00222D4A"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357CA755" w14:textId="0A2C350F" w:rsidR="00941497" w:rsidRDefault="00941497" w:rsidP="002971BC">
            <w:pPr>
              <w:pStyle w:val="Sinespaciado"/>
              <w:jc w:val="both"/>
              <w:rPr>
                <w:rFonts w:ascii="Arial" w:eastAsia="Calibri" w:hAnsi="Arial" w:cs="Arial"/>
                <w:lang w:val="es-MX"/>
              </w:rPr>
            </w:pPr>
          </w:p>
          <w:p w14:paraId="5CFC375F" w14:textId="236D10A5" w:rsidR="00941497" w:rsidRPr="00941497" w:rsidRDefault="00941497" w:rsidP="002971BC">
            <w:pPr>
              <w:pStyle w:val="Sinespaciado"/>
              <w:jc w:val="both"/>
              <w:rPr>
                <w:rFonts w:ascii="Arial" w:eastAsia="Calibri" w:hAnsi="Arial" w:cs="Arial"/>
                <w:color w:val="00B050"/>
                <w:lang w:val="es-MX"/>
              </w:rPr>
            </w:pPr>
            <w:r w:rsidRPr="00941497">
              <w:rPr>
                <w:rFonts w:ascii="Arial" w:eastAsia="Calibri" w:hAnsi="Arial" w:cs="Arial"/>
                <w:color w:val="00B050"/>
                <w:lang w:val="es-MX"/>
              </w:rPr>
              <w:t>Transcurrido el termino de traslado de la demanda, no se evidencia que se formularan excepciones previas, así como tampoco se avizoró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Pr="001A33F2" w:rsidRDefault="00306339" w:rsidP="00341FFF">
            <w:pPr>
              <w:pStyle w:val="Sinespaciado"/>
              <w:ind w:left="708"/>
              <w:jc w:val="both"/>
              <w:rPr>
                <w:rFonts w:ascii="Arial" w:hAnsi="Arial" w:cs="Arial"/>
                <w:b/>
                <w:bCs/>
                <w:i/>
                <w:color w:val="FF0000"/>
              </w:rPr>
            </w:pPr>
            <w:r w:rsidRPr="001A33F2">
              <w:rPr>
                <w:rFonts w:ascii="Arial" w:eastAsia="Calibri" w:hAnsi="Arial" w:cs="Arial"/>
                <w:noProof/>
                <w:color w:val="FF0000"/>
              </w:rPr>
              <mc:AlternateContent>
                <mc:Choice Requires="wps">
                  <w:drawing>
                    <wp:anchor distT="0" distB="0" distL="114300" distR="114300" simplePos="0" relativeHeight="251708416" behindDoc="0" locked="0" layoutInCell="1" allowOverlap="1" wp14:anchorId="45B914E8" wp14:editId="1F05DD19">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a:solidFill>
                                <a:srgbClr val="92D050"/>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B9D3A"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" fillcolor="#92d050"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3EFFB87C" w:rsidR="00341FFF"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35553EC" w14:textId="2B816DA3" w:rsidR="00941497" w:rsidRDefault="00941497" w:rsidP="00941497">
            <w:pPr>
              <w:pStyle w:val="Sinespaciado"/>
              <w:jc w:val="both"/>
              <w:rPr>
                <w:rFonts w:ascii="Arial" w:eastAsia="Calibri" w:hAnsi="Arial" w:cs="Arial"/>
                <w:lang w:val="es-MX"/>
              </w:rPr>
            </w:pPr>
          </w:p>
          <w:p w14:paraId="1F57C515" w14:textId="07DD3702" w:rsidR="00941497" w:rsidRPr="00941497" w:rsidRDefault="00941497" w:rsidP="00941497">
            <w:pPr>
              <w:pStyle w:val="Sinespaciado"/>
              <w:jc w:val="both"/>
              <w:rPr>
                <w:rFonts w:ascii="Arial" w:eastAsia="Calibri" w:hAnsi="Arial" w:cs="Arial"/>
                <w:color w:val="00B050"/>
                <w:lang w:val="es-MX"/>
              </w:rPr>
            </w:pPr>
            <w:r w:rsidRPr="00941497">
              <w:rPr>
                <w:rFonts w:ascii="Arial" w:eastAsia="Calibri" w:hAnsi="Arial" w:cs="Arial"/>
                <w:color w:val="00B050"/>
                <w:lang w:val="es-MX"/>
              </w:rPr>
              <w:t>Se emite auto por medio del cual se dispone a tener como pruebas las allegadas al proceso en la demanda y contestación, acto seguido se hace la fijación del litigió, dicha providencia es notificada en debida forma a los sujetos procesales.</w:t>
            </w:r>
          </w:p>
          <w:p w14:paraId="67D5A9F1" w14:textId="77777777" w:rsidR="00941497" w:rsidRPr="001F2D25" w:rsidRDefault="00941497" w:rsidP="00941497">
            <w:pPr>
              <w:pStyle w:val="Sinespaciado"/>
              <w:jc w:val="both"/>
              <w:rPr>
                <w:rFonts w:ascii="Arial" w:eastAsia="Calibri" w:hAnsi="Arial" w:cs="Arial"/>
                <w:lang w:val="es-MX"/>
              </w:rPr>
            </w:pP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4C93ECD1"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61F0E464" w14:textId="7176C1B1" w:rsidR="00941497" w:rsidRDefault="00941497" w:rsidP="00941497">
            <w:pPr>
              <w:pStyle w:val="Sinespaciado"/>
              <w:jc w:val="both"/>
              <w:rPr>
                <w:rFonts w:ascii="Arial" w:eastAsia="Calibri" w:hAnsi="Arial" w:cs="Arial"/>
                <w:lang w:val="es-MX"/>
              </w:rPr>
            </w:pPr>
          </w:p>
          <w:p w14:paraId="73F19CAF" w14:textId="473683C7" w:rsidR="00941497" w:rsidRDefault="00941497" w:rsidP="00941497">
            <w:pPr>
              <w:pStyle w:val="Sinespaciado"/>
              <w:jc w:val="both"/>
              <w:rPr>
                <w:rFonts w:ascii="Arial" w:eastAsia="Calibri" w:hAnsi="Arial" w:cs="Arial"/>
                <w:color w:val="00B050"/>
                <w:lang w:val="es-MX"/>
              </w:rPr>
            </w:pPr>
            <w:r w:rsidRPr="00C006F9">
              <w:rPr>
                <w:rFonts w:ascii="Arial" w:eastAsia="Calibri" w:hAnsi="Arial" w:cs="Arial"/>
                <w:color w:val="00B050"/>
                <w:lang w:val="es-MX"/>
              </w:rPr>
              <w:t xml:space="preserve">Ejecutoriada la providencia anterior se corre traslado a las partes por el termino de 10 </w:t>
            </w:r>
            <w:r w:rsidR="00C006F9" w:rsidRPr="00C006F9">
              <w:rPr>
                <w:rFonts w:ascii="Arial" w:eastAsia="Calibri" w:hAnsi="Arial" w:cs="Arial"/>
                <w:color w:val="00B050"/>
                <w:lang w:val="es-MX"/>
              </w:rPr>
              <w:t>días</w:t>
            </w:r>
            <w:r w:rsidRPr="00C006F9">
              <w:rPr>
                <w:rFonts w:ascii="Arial" w:eastAsia="Calibri" w:hAnsi="Arial" w:cs="Arial"/>
                <w:color w:val="00B050"/>
                <w:lang w:val="es-MX"/>
              </w:rPr>
              <w:t xml:space="preserve">, para que presente sus alegatos de conclusión, se indica </w:t>
            </w:r>
            <w:r w:rsidR="00C006F9" w:rsidRPr="00C006F9">
              <w:rPr>
                <w:rFonts w:ascii="Arial" w:eastAsia="Calibri" w:hAnsi="Arial" w:cs="Arial"/>
                <w:color w:val="00B050"/>
                <w:lang w:val="es-MX"/>
              </w:rPr>
              <w:t>que se tomará la decisión por medio de sentencia anticipada ya que con la documental aportada por la señora María Pepita León Rodríguez anexó la resolución 000 del 23 del 04 de julio de 2008 por medio de la cual se le reconoció pensión de jubilación, donde se indica la fecha y el monto que percibió al adquirir su estatus pensional y analizadas las excepciones de fondo propuestas por FONPREMAG, este despacho realizará un análisis de los estipulado por el acto legislativo 01 de 2005 y verificará si cumple con los requisitos para el reconocimiento y pago de la prima de medio año.</w:t>
            </w:r>
          </w:p>
          <w:p w14:paraId="116A5485" w14:textId="37392305" w:rsidR="00C006F9" w:rsidRDefault="00C006F9" w:rsidP="00941497">
            <w:pPr>
              <w:pStyle w:val="Sinespaciado"/>
              <w:jc w:val="both"/>
              <w:rPr>
                <w:rFonts w:ascii="Arial" w:eastAsia="Calibri" w:hAnsi="Arial" w:cs="Arial"/>
                <w:color w:val="00B050"/>
                <w:lang w:val="es-MX"/>
              </w:rPr>
            </w:pPr>
          </w:p>
          <w:p w14:paraId="26015334" w14:textId="764EFE00" w:rsidR="00C006F9" w:rsidRPr="00C006F9" w:rsidRDefault="00C006F9" w:rsidP="00941497">
            <w:pPr>
              <w:pStyle w:val="Sinespaciado"/>
              <w:jc w:val="both"/>
              <w:rPr>
                <w:rFonts w:ascii="Arial" w:eastAsia="Calibri" w:hAnsi="Arial" w:cs="Arial"/>
                <w:color w:val="00B050"/>
                <w:lang w:val="es-MX"/>
              </w:rPr>
            </w:pPr>
            <w:r>
              <w:rPr>
                <w:rFonts w:ascii="Arial" w:eastAsia="Calibri" w:hAnsi="Arial" w:cs="Arial"/>
                <w:color w:val="00B050"/>
                <w:lang w:val="es-MX"/>
              </w:rPr>
              <w:t>A</w:t>
            </w:r>
            <w:r w:rsidRPr="00C006F9">
              <w:rPr>
                <w:rFonts w:ascii="Arial" w:eastAsia="Calibri" w:hAnsi="Arial" w:cs="Arial"/>
                <w:color w:val="00B050"/>
                <w:lang w:val="es-MX"/>
              </w:rPr>
              <w:t>dvi</w:t>
            </w:r>
            <w:r>
              <w:rPr>
                <w:rFonts w:ascii="Arial" w:eastAsia="Calibri" w:hAnsi="Arial" w:cs="Arial"/>
                <w:color w:val="00B050"/>
                <w:lang w:val="es-MX"/>
              </w:rPr>
              <w:t>erte</w:t>
            </w:r>
            <w:r w:rsidRPr="00C006F9">
              <w:rPr>
                <w:rFonts w:ascii="Arial" w:eastAsia="Calibri" w:hAnsi="Arial" w:cs="Arial"/>
                <w:color w:val="00B050"/>
                <w:lang w:val="es-MX"/>
              </w:rPr>
              <w:t xml:space="preserve"> el Despacho </w:t>
            </w:r>
            <w:r>
              <w:rPr>
                <w:rFonts w:ascii="Arial" w:eastAsia="Calibri" w:hAnsi="Arial" w:cs="Arial"/>
                <w:color w:val="00B050"/>
                <w:lang w:val="es-MX"/>
              </w:rPr>
              <w:t xml:space="preserve">que </w:t>
            </w:r>
            <w:r w:rsidRPr="00C006F9">
              <w:rPr>
                <w:rFonts w:ascii="Arial" w:eastAsia="Calibri" w:hAnsi="Arial" w:cs="Arial"/>
                <w:color w:val="00B050"/>
                <w:lang w:val="es-MX"/>
              </w:rPr>
              <w:t>dictará sentencia dentro de los 20 días siguientes al vencimiento del término para presentar alegatos</w:t>
            </w:r>
            <w:r>
              <w:rPr>
                <w:rFonts w:ascii="Arial" w:eastAsia="Calibri" w:hAnsi="Arial" w:cs="Arial"/>
                <w:color w:val="00B050"/>
                <w:lang w:val="es-MX"/>
              </w:rPr>
              <w:t>, decisión que</w:t>
            </w:r>
            <w:r w:rsidRPr="00C006F9">
              <w:rPr>
                <w:rFonts w:ascii="Arial" w:eastAsia="Calibri" w:hAnsi="Arial" w:cs="Arial"/>
                <w:color w:val="00B050"/>
                <w:lang w:val="es-MX"/>
              </w:rPr>
              <w:t xml:space="preserve"> notifica en debida forma a las partes.</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66EF4" w14:textId="77777777" w:rsidR="00D15EFD" w:rsidRDefault="00D15EFD">
      <w:pPr>
        <w:spacing w:after="0" w:line="240" w:lineRule="auto"/>
      </w:pPr>
      <w:r>
        <w:separator/>
      </w:r>
    </w:p>
  </w:endnote>
  <w:endnote w:type="continuationSeparator" w:id="0">
    <w:p w14:paraId="34EA31F2" w14:textId="77777777" w:rsidR="00D15EFD" w:rsidRDefault="00D15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15E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15E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50140" w14:textId="77777777" w:rsidR="00D15EFD" w:rsidRDefault="00D15EFD">
      <w:pPr>
        <w:spacing w:after="0" w:line="240" w:lineRule="auto"/>
      </w:pPr>
      <w:r>
        <w:separator/>
      </w:r>
    </w:p>
  </w:footnote>
  <w:footnote w:type="continuationSeparator" w:id="0">
    <w:p w14:paraId="5FC9CB3A" w14:textId="77777777" w:rsidR="00D15EFD" w:rsidRDefault="00D15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A33F2"/>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41497"/>
    <w:rsid w:val="00965363"/>
    <w:rsid w:val="0096597C"/>
    <w:rsid w:val="009E3199"/>
    <w:rsid w:val="00A461DF"/>
    <w:rsid w:val="00A62E46"/>
    <w:rsid w:val="00B47DA4"/>
    <w:rsid w:val="00B713D2"/>
    <w:rsid w:val="00C006F9"/>
    <w:rsid w:val="00C43096"/>
    <w:rsid w:val="00C53F95"/>
    <w:rsid w:val="00C5649B"/>
    <w:rsid w:val="00CC64F1"/>
    <w:rsid w:val="00CF03D9"/>
    <w:rsid w:val="00D111DA"/>
    <w:rsid w:val="00D15EFD"/>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14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1128</Words>
  <Characters>6206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Juzgado 52 Administrativo - Bogotá - Bogotá D.C.</cp:lastModifiedBy>
  <cp:revision>2</cp:revision>
  <dcterms:created xsi:type="dcterms:W3CDTF">2021-09-03T23:14:00Z</dcterms:created>
  <dcterms:modified xsi:type="dcterms:W3CDTF">2021-09-03T23:14:00Z</dcterms:modified>
</cp:coreProperties>
</file>