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E2E" w:rsidRPr="00BC0560" w:rsidRDefault="002E6E2E" w:rsidP="002E6E2E">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2E6E2E" w:rsidRPr="00BC0560" w:rsidRDefault="002E6E2E" w:rsidP="002E6E2E">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2E6E2E" w:rsidRPr="00BC0560" w:rsidRDefault="002E6E2E" w:rsidP="002E6E2E">
      <w:pPr>
        <w:spacing w:after="0" w:line="240" w:lineRule="auto"/>
        <w:rPr>
          <w:rFonts w:ascii="Times New Roman" w:eastAsia="Times New Roman" w:hAnsi="Times New Roman" w:cs="Times New Roman"/>
          <w:sz w:val="24"/>
          <w:szCs w:val="24"/>
          <w:lang w:eastAsia="es-CO"/>
        </w:rPr>
      </w:pPr>
    </w:p>
    <w:p w:rsidR="002E6E2E" w:rsidRPr="00BC0560" w:rsidRDefault="002E6E2E" w:rsidP="002E6E2E">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2E6E2E" w:rsidRPr="00BC0560" w:rsidRDefault="002E6E2E" w:rsidP="002E6E2E">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2E6E2E" w:rsidRPr="00BC0560" w:rsidRDefault="002E6E2E" w:rsidP="002E6E2E">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2E6E2E" w:rsidRPr="00BC0560" w:rsidRDefault="002E6E2E" w:rsidP="002E6E2E">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2E6E2E" w:rsidRPr="00BC0560" w:rsidRDefault="002E6E2E" w:rsidP="002E6E2E">
      <w:pPr>
        <w:spacing w:after="0" w:line="240" w:lineRule="auto"/>
        <w:rPr>
          <w:rFonts w:ascii="Times New Roman" w:eastAsia="Times New Roman" w:hAnsi="Times New Roman" w:cs="Times New Roman"/>
          <w:sz w:val="24"/>
          <w:szCs w:val="24"/>
          <w:lang w:eastAsia="es-CO"/>
        </w:rPr>
      </w:pPr>
    </w:p>
    <w:p w:rsidR="002E6E2E" w:rsidRPr="00BC0560" w:rsidRDefault="002E6E2E" w:rsidP="002E6E2E">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Pr>
          <w:rFonts w:ascii="Arial" w:eastAsia="Times New Roman" w:hAnsi="Arial" w:cs="Arial"/>
          <w:b/>
          <w:color w:val="000000"/>
          <w:lang w:eastAsia="es-CO"/>
        </w:rPr>
        <w:t>ROXANA ISABEL ANGULO MUÑOZ</w:t>
      </w:r>
    </w:p>
    <w:p w:rsidR="002E6E2E" w:rsidRPr="00BC0560" w:rsidRDefault="002E6E2E" w:rsidP="002E6E2E">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Pr="00121365">
        <w:rPr>
          <w:rFonts w:ascii="Arial" w:eastAsia="Times New Roman" w:hAnsi="Arial" w:cs="Arial"/>
          <w:b/>
          <w:color w:val="000000"/>
          <w:lang w:eastAsia="es-CO"/>
        </w:rPr>
        <w:t>05 DE SEPTIEMBRE DE 2021</w:t>
      </w:r>
      <w:r w:rsidRPr="00BC0560">
        <w:rPr>
          <w:rFonts w:ascii="Arial" w:eastAsia="Times New Roman" w:hAnsi="Arial" w:cs="Arial"/>
          <w:color w:val="000000"/>
          <w:lang w:eastAsia="es-CO"/>
        </w:rPr>
        <w:t> </w:t>
      </w:r>
    </w:p>
    <w:p w:rsidR="002E6E2E" w:rsidRPr="00BC0560" w:rsidRDefault="002E6E2E" w:rsidP="002E6E2E">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Pr>
          <w:rFonts w:ascii="Arial" w:eastAsia="Times New Roman" w:hAnsi="Arial" w:cs="Arial"/>
          <w:color w:val="000000"/>
          <w:lang w:eastAsia="es-CO"/>
        </w:rPr>
        <w:t>Nulidad y Restablecimiento del Derecho</w:t>
      </w:r>
    </w:p>
    <w:p w:rsidR="002E6E2E" w:rsidRPr="00BC0560" w:rsidRDefault="002E6E2E" w:rsidP="002E6E2E">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w:t>
      </w:r>
      <w:r>
        <w:rPr>
          <w:rFonts w:ascii="Arial" w:eastAsia="Times New Roman" w:hAnsi="Arial" w:cs="Arial"/>
          <w:b/>
          <w:color w:val="000000"/>
          <w:lang w:eastAsia="es-CO"/>
        </w:rPr>
        <w:t>ELECTRICARIBE S.A. E.S.P</w:t>
      </w:r>
    </w:p>
    <w:p w:rsidR="002E6E2E" w:rsidRDefault="002E6E2E" w:rsidP="002E6E2E">
      <w:pPr>
        <w:spacing w:after="0" w:line="240" w:lineRule="auto"/>
        <w:jc w:val="both"/>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w:t>
      </w:r>
      <w:r w:rsidRPr="00121365">
        <w:rPr>
          <w:rFonts w:ascii="Arial" w:eastAsia="Times New Roman" w:hAnsi="Arial" w:cs="Arial"/>
          <w:b/>
          <w:color w:val="000000"/>
          <w:lang w:eastAsia="es-CO"/>
        </w:rPr>
        <w:t xml:space="preserve">NACIÓN – </w:t>
      </w:r>
      <w:r>
        <w:rPr>
          <w:rFonts w:ascii="Arial" w:eastAsia="Times New Roman" w:hAnsi="Arial" w:cs="Arial"/>
          <w:b/>
          <w:color w:val="000000"/>
          <w:lang w:eastAsia="es-CO"/>
        </w:rPr>
        <w:t>SUPERINTENDENC</w:t>
      </w:r>
      <w:bookmarkStart w:id="0" w:name="_GoBack"/>
      <w:bookmarkEnd w:id="0"/>
      <w:r>
        <w:rPr>
          <w:rFonts w:ascii="Arial" w:eastAsia="Times New Roman" w:hAnsi="Arial" w:cs="Arial"/>
          <w:b/>
          <w:color w:val="000000"/>
          <w:lang w:eastAsia="es-CO"/>
        </w:rPr>
        <w:t>IA DE INDUSTRIA Y COMERCIO</w:t>
      </w:r>
    </w:p>
    <w:p w:rsidR="002E6E2E" w:rsidRPr="00BC0560" w:rsidRDefault="002E6E2E" w:rsidP="002E6E2E">
      <w:pPr>
        <w:spacing w:after="0" w:line="240" w:lineRule="auto"/>
        <w:jc w:val="both"/>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Pr="00121365">
        <w:rPr>
          <w:rFonts w:ascii="Arial" w:hAnsi="Arial" w:cs="Arial"/>
          <w:b/>
        </w:rPr>
        <w:t>08001313301320</w:t>
      </w:r>
      <w:r>
        <w:rPr>
          <w:rFonts w:ascii="Arial" w:hAnsi="Arial" w:cs="Arial"/>
          <w:b/>
        </w:rPr>
        <w:t>18</w:t>
      </w:r>
      <w:r w:rsidRPr="00121365">
        <w:rPr>
          <w:rFonts w:ascii="Arial" w:hAnsi="Arial" w:cs="Arial"/>
          <w:b/>
        </w:rPr>
        <w:t>0</w:t>
      </w:r>
      <w:r w:rsidR="00494F33">
        <w:rPr>
          <w:rFonts w:ascii="Arial" w:hAnsi="Arial" w:cs="Arial"/>
          <w:b/>
        </w:rPr>
        <w:t>0485</w:t>
      </w:r>
      <w:r w:rsidRPr="00121365">
        <w:rPr>
          <w:rFonts w:ascii="Arial" w:hAnsi="Arial" w:cs="Arial"/>
          <w:b/>
        </w:rPr>
        <w:t>00</w:t>
      </w:r>
    </w:p>
    <w:p w:rsidR="002E6E2E" w:rsidRPr="00BC0560" w:rsidRDefault="002E6E2E" w:rsidP="002E6E2E">
      <w:pPr>
        <w:spacing w:after="240" w:line="240" w:lineRule="auto"/>
        <w:jc w:val="both"/>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2E6E2E"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E6E2E" w:rsidRPr="00BC0560" w:rsidRDefault="002E6E2E" w:rsidP="00D500BA">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2E6E2E" w:rsidRDefault="002E6E2E" w:rsidP="00D500BA">
            <w:pPr>
              <w:spacing w:after="0" w:line="240" w:lineRule="auto"/>
              <w:rPr>
                <w:rFonts w:ascii="Times New Roman" w:eastAsia="Times New Roman" w:hAnsi="Times New Roman" w:cs="Times New Roman"/>
                <w:sz w:val="24"/>
                <w:szCs w:val="24"/>
                <w:lang w:eastAsia="es-CO"/>
              </w:rPr>
            </w:pPr>
          </w:p>
          <w:p w:rsidR="002E6E2E" w:rsidRPr="00DB5AEE" w:rsidRDefault="002E6E2E" w:rsidP="00D500BA">
            <w:pPr>
              <w:spacing w:after="240" w:line="240" w:lineRule="auto"/>
              <w:jc w:val="both"/>
              <w:rPr>
                <w:rFonts w:ascii="Arial" w:eastAsia="Times New Roman" w:hAnsi="Arial" w:cs="Arial"/>
                <w:szCs w:val="24"/>
                <w:lang w:eastAsia="es-CO"/>
              </w:rPr>
            </w:pPr>
            <w:r w:rsidRPr="00DB5AEE">
              <w:rPr>
                <w:rFonts w:ascii="Arial" w:eastAsia="Times New Roman" w:hAnsi="Arial" w:cs="Arial"/>
                <w:b/>
                <w:szCs w:val="24"/>
                <w:lang w:eastAsia="es-CO"/>
              </w:rPr>
              <w:t>Respuesta:</w:t>
            </w:r>
            <w:r w:rsidRPr="00DB5AEE">
              <w:rPr>
                <w:rFonts w:ascii="Arial" w:eastAsia="Times New Roman" w:hAnsi="Arial" w:cs="Arial"/>
                <w:szCs w:val="24"/>
                <w:lang w:eastAsia="es-CO"/>
              </w:rPr>
              <w:t xml:space="preserve"> Una vez examinada íntegramente la demanda, se tiene que en el proceso de marras venció el termino de contestación de la demanda, por lo que, por secretaria, se corrió el traslado de las excepciones propuestas sin que la parte actora haya realizado pronunciamiento alguno respecto de la mismas.  </w:t>
            </w:r>
          </w:p>
          <w:p w:rsidR="00494F33" w:rsidRDefault="002E6E2E" w:rsidP="00494F33">
            <w:pPr>
              <w:spacing w:after="240" w:line="240" w:lineRule="auto"/>
              <w:jc w:val="both"/>
              <w:rPr>
                <w:rFonts w:ascii="Arial" w:eastAsia="Times New Roman" w:hAnsi="Arial" w:cs="Arial"/>
                <w:szCs w:val="24"/>
                <w:lang w:eastAsia="es-CO"/>
              </w:rPr>
            </w:pPr>
            <w:r w:rsidRPr="00DB5AEE">
              <w:rPr>
                <w:rFonts w:ascii="Arial" w:eastAsia="Times New Roman" w:hAnsi="Arial" w:cs="Arial"/>
                <w:szCs w:val="24"/>
                <w:lang w:eastAsia="es-CO"/>
              </w:rPr>
              <w:t xml:space="preserve">En este sentido, se procedió </w:t>
            </w:r>
            <w:r w:rsidR="00494F33" w:rsidRPr="00DB5AEE">
              <w:rPr>
                <w:rFonts w:ascii="Arial" w:eastAsia="Times New Roman" w:hAnsi="Arial" w:cs="Arial"/>
                <w:szCs w:val="24"/>
                <w:lang w:eastAsia="es-CO"/>
              </w:rPr>
              <w:t>a analizar las excepciones propuestas por la entidad demandada de</w:t>
            </w:r>
            <w:r w:rsidRPr="00DB5AEE">
              <w:rPr>
                <w:rFonts w:ascii="Arial" w:eastAsia="Times New Roman" w:hAnsi="Arial" w:cs="Arial"/>
                <w:szCs w:val="24"/>
                <w:lang w:eastAsia="es-CO"/>
              </w:rPr>
              <w:t xml:space="preserve"> conformidad a lo establecido en el artículo 175 de la ley 1437 de 2011, reformada por la Ley 2080 de 2021, sin que </w:t>
            </w:r>
            <w:r w:rsidR="00494F33" w:rsidRPr="00DB5AEE">
              <w:rPr>
                <w:rFonts w:ascii="Arial" w:eastAsia="Times New Roman" w:hAnsi="Arial" w:cs="Arial"/>
                <w:szCs w:val="24"/>
                <w:lang w:eastAsia="es-CO"/>
              </w:rPr>
              <w:t xml:space="preserve">se haya realizado pronunciamiento alguno, toda vez que las excepciones </w:t>
            </w:r>
            <w:r w:rsidR="00DB5AEE" w:rsidRPr="00DB5AEE">
              <w:rPr>
                <w:rFonts w:ascii="Arial" w:eastAsia="Times New Roman" w:hAnsi="Arial" w:cs="Arial"/>
                <w:szCs w:val="24"/>
                <w:lang w:eastAsia="es-CO"/>
              </w:rPr>
              <w:t xml:space="preserve">presentadas no son de las taxativamente señaladas en </w:t>
            </w:r>
            <w:r w:rsidR="00494F33" w:rsidRPr="00DB5AEE">
              <w:rPr>
                <w:rFonts w:ascii="Arial" w:eastAsia="Times New Roman" w:hAnsi="Arial" w:cs="Arial"/>
                <w:szCs w:val="24"/>
                <w:lang w:eastAsia="es-CO"/>
              </w:rPr>
              <w:t xml:space="preserve"> el artículo 100 del CGP y las perentorias nominadas establecías en el artículo 175 del CGP.</w:t>
            </w:r>
            <w:r w:rsidR="00494F33">
              <w:rPr>
                <w:rFonts w:ascii="Arial" w:eastAsia="Times New Roman" w:hAnsi="Arial" w:cs="Arial"/>
                <w:szCs w:val="24"/>
                <w:lang w:eastAsia="es-CO"/>
              </w:rPr>
              <w:t xml:space="preserve">   </w:t>
            </w:r>
          </w:p>
          <w:p w:rsidR="002E6E2E" w:rsidRPr="00BC0560" w:rsidRDefault="002E6E2E" w:rsidP="00494F33">
            <w:pPr>
              <w:spacing w:after="24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2E6E2E"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E6E2E" w:rsidRPr="00BC0560" w:rsidRDefault="002E6E2E" w:rsidP="00D500BA">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Pr>
                <w:rFonts w:ascii="Arial" w:eastAsia="Times New Roman" w:hAnsi="Arial" w:cs="Arial"/>
                <w:i/>
                <w:iCs/>
                <w:color w:val="000000"/>
                <w:lang w:eastAsia="es-CO"/>
              </w:rPr>
              <w:t xml:space="preserve"> _</w:t>
            </w:r>
            <w:r>
              <w:rPr>
                <w:rFonts w:ascii="Arial Unicode MS" w:hAnsi="Arial Unicode MS" w:cs="Arial Unicode MS"/>
                <w:color w:val="363636"/>
                <w:sz w:val="36"/>
                <w:szCs w:val="36"/>
                <w:shd w:val="clear" w:color="auto" w:fill="FFFFFF"/>
              </w:rPr>
              <w:t>_</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Pr="00AE5E47">
              <w:rPr>
                <w:rFonts w:ascii="Arial" w:eastAsia="Times New Roman" w:hAnsi="Arial" w:cs="Arial"/>
                <w:b/>
                <w:i/>
                <w:iCs/>
                <w:color w:val="000000"/>
                <w:lang w:eastAsia="es-CO"/>
              </w:rPr>
              <w:t>_____</w:t>
            </w:r>
            <w:r w:rsidRPr="00BC0560">
              <w:rPr>
                <w:rFonts w:ascii="Arial" w:eastAsia="Times New Roman" w:hAnsi="Arial" w:cs="Arial"/>
                <w:i/>
                <w:iCs/>
                <w:color w:val="000000"/>
                <w:lang w:eastAsia="es-CO"/>
              </w:rPr>
              <w:t>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r>
              <w:rPr>
                <w:rFonts w:ascii="Arial" w:eastAsia="Times New Roman" w:hAnsi="Arial" w:cs="Arial"/>
                <w:i/>
                <w:iCs/>
                <w:color w:val="000000"/>
                <w:lang w:eastAsia="es-CO"/>
              </w:rPr>
              <w:t>desconocimiento</w:t>
            </w:r>
            <w:r w:rsidRPr="00DB5AEE">
              <w:rPr>
                <w:rFonts w:ascii="Arial" w:eastAsia="Times New Roman" w:hAnsi="Arial" w:cs="Arial"/>
                <w:i/>
                <w:iCs/>
                <w:color w:val="000000"/>
                <w:lang w:eastAsia="es-CO"/>
              </w:rPr>
              <w:t>; </w:t>
            </w:r>
            <w:r w:rsidRPr="00DB5AEE">
              <w:rPr>
                <w:rFonts w:ascii="Arial" w:eastAsia="Times New Roman" w:hAnsi="Arial" w:cs="Arial"/>
                <w:b/>
                <w:i/>
                <w:iCs/>
                <w:color w:val="000000"/>
                <w:lang w:eastAsia="es-CO"/>
              </w:rPr>
              <w:t>__</w:t>
            </w:r>
            <w:r w:rsidRPr="00DB5AEE">
              <w:rPr>
                <w:rFonts w:ascii="Arial" w:eastAsia="Times New Roman" w:hAnsi="Arial" w:cs="Arial"/>
                <w:b/>
                <w:i/>
                <w:iCs/>
                <w:color w:val="000000"/>
                <w:u w:val="single"/>
                <w:lang w:eastAsia="es-CO"/>
              </w:rPr>
              <w:t>X_</w:t>
            </w:r>
            <w:r w:rsidRPr="00DB5AEE">
              <w:rPr>
                <w:rFonts w:ascii="Arial" w:eastAsia="Times New Roman" w:hAnsi="Arial" w:cs="Arial"/>
                <w:b/>
                <w:i/>
                <w:iCs/>
                <w:color w:val="000000"/>
                <w:lang w:eastAsia="es-CO"/>
              </w:rPr>
              <w:t>_</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DB5AEE" w:rsidRDefault="002E6E2E" w:rsidP="00D500BA">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r w:rsidRPr="00DB5AEE">
              <w:rPr>
                <w:rFonts w:ascii="Arial" w:eastAsia="Times New Roman" w:hAnsi="Arial" w:cs="Arial"/>
                <w:b/>
                <w:i/>
                <w:color w:val="000000"/>
                <w:u w:val="single"/>
                <w:lang w:eastAsia="es-CO"/>
              </w:rPr>
              <w:t>___X</w:t>
            </w:r>
            <w:r w:rsidRPr="00DB5AEE">
              <w:rPr>
                <w:rFonts w:ascii="Arial" w:eastAsia="Times New Roman" w:hAnsi="Arial" w:cs="Arial"/>
                <w:b/>
                <w:i/>
                <w:color w:val="000000"/>
                <w:lang w:eastAsia="es-CO"/>
              </w:rPr>
              <w:t>___</w:t>
            </w:r>
          </w:p>
          <w:p w:rsidR="002E6E2E" w:rsidRDefault="002E6E2E" w:rsidP="00D500BA">
            <w:pPr>
              <w:spacing w:after="0" w:line="240" w:lineRule="auto"/>
              <w:ind w:left="720"/>
              <w:jc w:val="both"/>
              <w:textAlignment w:val="baseline"/>
              <w:rPr>
                <w:rFonts w:ascii="Arial" w:eastAsia="Times New Roman" w:hAnsi="Arial" w:cs="Arial"/>
                <w:color w:val="000000"/>
                <w:lang w:eastAsia="es-CO"/>
              </w:rPr>
            </w:pPr>
          </w:p>
          <w:p w:rsidR="002E6E2E" w:rsidRPr="00737D3D" w:rsidRDefault="002E6E2E" w:rsidP="00D500BA">
            <w:pPr>
              <w:spacing w:after="0" w:line="240" w:lineRule="auto"/>
              <w:ind w:left="720"/>
              <w:jc w:val="both"/>
              <w:textAlignment w:val="baseline"/>
              <w:rPr>
                <w:rFonts w:ascii="Arial" w:eastAsia="Times New Roman" w:hAnsi="Arial" w:cs="Arial"/>
                <w:b/>
                <w:color w:val="000000"/>
                <w:lang w:eastAsia="es-CO"/>
              </w:rPr>
            </w:pPr>
            <w:r w:rsidRPr="00737D3D">
              <w:rPr>
                <w:rFonts w:ascii="Arial" w:eastAsia="Times New Roman" w:hAnsi="Arial" w:cs="Arial"/>
                <w:b/>
                <w:color w:val="000000"/>
                <w:lang w:eastAsia="es-CO"/>
              </w:rPr>
              <w:t xml:space="preserve">(En el presente caso se realizó pronunciamiento </w:t>
            </w:r>
            <w:r w:rsidR="00737D3D" w:rsidRPr="00737D3D">
              <w:rPr>
                <w:rFonts w:ascii="Arial" w:eastAsia="Times New Roman" w:hAnsi="Arial" w:cs="Arial"/>
                <w:b/>
                <w:color w:val="000000"/>
                <w:lang w:eastAsia="es-CO"/>
              </w:rPr>
              <w:t xml:space="preserve">respecto de las pruebas allegadas </w:t>
            </w:r>
            <w:r w:rsidRPr="00737D3D">
              <w:rPr>
                <w:rFonts w:ascii="Arial" w:eastAsia="Times New Roman" w:hAnsi="Arial" w:cs="Arial"/>
                <w:b/>
                <w:color w:val="000000"/>
                <w:lang w:eastAsia="es-CO"/>
              </w:rPr>
              <w:t>al plenario por la parte actora y las allegadas junto con la contestación parte partes de las accionadas, incorporándose cada una de ellas al proceso).</w:t>
            </w:r>
          </w:p>
          <w:p w:rsidR="002E6E2E" w:rsidRPr="00737D3D" w:rsidRDefault="002E6E2E" w:rsidP="00D500BA">
            <w:pPr>
              <w:spacing w:after="0" w:line="240" w:lineRule="auto"/>
              <w:ind w:left="720"/>
              <w:jc w:val="both"/>
              <w:textAlignment w:val="baseline"/>
              <w:rPr>
                <w:rFonts w:ascii="Arial" w:eastAsia="Times New Roman" w:hAnsi="Arial" w:cs="Arial"/>
                <w:color w:val="000000"/>
                <w:lang w:eastAsia="es-CO"/>
              </w:rPr>
            </w:pPr>
          </w:p>
          <w:p w:rsidR="002E6E2E" w:rsidRPr="00737D3D" w:rsidRDefault="002E6E2E" w:rsidP="00D500BA">
            <w:pPr>
              <w:numPr>
                <w:ilvl w:val="0"/>
                <w:numId w:val="2"/>
              </w:numPr>
              <w:spacing w:after="0" w:line="240" w:lineRule="auto"/>
              <w:jc w:val="both"/>
              <w:textAlignment w:val="baseline"/>
              <w:rPr>
                <w:rFonts w:ascii="Arial" w:eastAsia="Times New Roman" w:hAnsi="Arial" w:cs="Arial"/>
                <w:color w:val="000000"/>
                <w:lang w:eastAsia="es-CO"/>
              </w:rPr>
            </w:pPr>
            <w:r w:rsidRPr="00737D3D">
              <w:rPr>
                <w:rFonts w:ascii="Arial" w:eastAsia="Times New Roman" w:hAnsi="Arial" w:cs="Arial"/>
                <w:color w:val="000000"/>
                <w:lang w:eastAsia="es-CO"/>
              </w:rPr>
              <w:t>En la misma providencia debe fijar el litigio u objeto de la controversia. </w:t>
            </w:r>
          </w:p>
          <w:p w:rsidR="002E6E2E" w:rsidRPr="00737D3D" w:rsidRDefault="002E6E2E" w:rsidP="00D500BA">
            <w:pPr>
              <w:spacing w:after="0" w:line="240" w:lineRule="auto"/>
              <w:ind w:left="720"/>
              <w:jc w:val="both"/>
              <w:textAlignment w:val="baseline"/>
              <w:rPr>
                <w:rFonts w:ascii="Arial" w:eastAsia="Times New Roman" w:hAnsi="Arial" w:cs="Arial"/>
                <w:color w:val="000000"/>
                <w:lang w:eastAsia="es-CO"/>
              </w:rPr>
            </w:pPr>
          </w:p>
          <w:p w:rsidR="002E6E2E" w:rsidRPr="00737D3D" w:rsidRDefault="002E6E2E" w:rsidP="00D500BA">
            <w:pPr>
              <w:spacing w:after="0" w:line="240" w:lineRule="auto"/>
              <w:ind w:left="720"/>
              <w:jc w:val="both"/>
              <w:textAlignment w:val="baseline"/>
              <w:rPr>
                <w:rFonts w:ascii="Arial" w:eastAsia="Times New Roman" w:hAnsi="Arial" w:cs="Arial"/>
                <w:color w:val="000000"/>
                <w:lang w:eastAsia="es-CO"/>
              </w:rPr>
            </w:pPr>
            <w:r w:rsidRPr="00737D3D">
              <w:rPr>
                <w:rFonts w:ascii="Arial" w:eastAsia="Times New Roman" w:hAnsi="Arial" w:cs="Arial"/>
                <w:b/>
                <w:color w:val="000000"/>
                <w:lang w:eastAsia="es-CO"/>
              </w:rPr>
              <w:t xml:space="preserve">(En el presente caso una vez se incorporaron pruebas, se procedió a fijar el litigio, determinando el problema jurídico a resolver). </w:t>
            </w:r>
          </w:p>
          <w:p w:rsidR="002E6E2E" w:rsidRPr="00737D3D" w:rsidRDefault="002E6E2E" w:rsidP="00D500BA">
            <w:pPr>
              <w:spacing w:after="0" w:line="240" w:lineRule="auto"/>
              <w:rPr>
                <w:rFonts w:ascii="Times New Roman" w:eastAsia="Times New Roman" w:hAnsi="Times New Roman" w:cs="Times New Roman"/>
                <w:sz w:val="24"/>
                <w:szCs w:val="24"/>
                <w:lang w:eastAsia="es-CO"/>
              </w:rPr>
            </w:pPr>
          </w:p>
          <w:p w:rsidR="002E6E2E" w:rsidRPr="00737D3D" w:rsidRDefault="002E6E2E" w:rsidP="00D500BA">
            <w:pPr>
              <w:numPr>
                <w:ilvl w:val="0"/>
                <w:numId w:val="3"/>
              </w:numPr>
              <w:spacing w:after="0" w:line="240" w:lineRule="auto"/>
              <w:jc w:val="both"/>
              <w:textAlignment w:val="baseline"/>
              <w:rPr>
                <w:rFonts w:ascii="Arial" w:eastAsia="Times New Roman" w:hAnsi="Arial" w:cs="Arial"/>
                <w:color w:val="000000"/>
                <w:lang w:eastAsia="es-CO"/>
              </w:rPr>
            </w:pPr>
            <w:r w:rsidRPr="00737D3D">
              <w:rPr>
                <w:rFonts w:ascii="Arial" w:eastAsia="Times New Roman" w:hAnsi="Arial" w:cs="Arial"/>
                <w:color w:val="000000"/>
                <w:lang w:eastAsia="es-CO"/>
              </w:rPr>
              <w:t>Correr traslado para alegar de conclusión en la forma prevista en el inciso final del artículo 181 del CPACA, y, _</w:t>
            </w:r>
            <w:r w:rsidRPr="00737D3D">
              <w:rPr>
                <w:rFonts w:ascii="Arial" w:eastAsia="Times New Roman" w:hAnsi="Arial" w:cs="Arial"/>
                <w:b/>
                <w:i/>
                <w:color w:val="000000"/>
                <w:u w:val="single"/>
                <w:lang w:eastAsia="es-CO"/>
              </w:rPr>
              <w:t>_X___</w:t>
            </w:r>
          </w:p>
          <w:p w:rsidR="002E6E2E" w:rsidRPr="00737D3D" w:rsidRDefault="002E6E2E" w:rsidP="00D500BA">
            <w:pPr>
              <w:spacing w:after="0" w:line="240" w:lineRule="auto"/>
              <w:ind w:left="720"/>
              <w:jc w:val="both"/>
              <w:textAlignment w:val="baseline"/>
              <w:rPr>
                <w:rFonts w:ascii="Arial" w:eastAsia="Times New Roman" w:hAnsi="Arial" w:cs="Arial"/>
                <w:b/>
                <w:i/>
                <w:color w:val="000000"/>
                <w:u w:val="single"/>
                <w:lang w:eastAsia="es-CO"/>
              </w:rPr>
            </w:pPr>
          </w:p>
          <w:p w:rsidR="002E6E2E" w:rsidRPr="00BC0560" w:rsidRDefault="002E6E2E" w:rsidP="00D500BA">
            <w:pPr>
              <w:spacing w:after="0" w:line="240" w:lineRule="auto"/>
              <w:ind w:left="720"/>
              <w:jc w:val="both"/>
              <w:textAlignment w:val="baseline"/>
              <w:rPr>
                <w:rFonts w:ascii="Arial" w:eastAsia="Times New Roman" w:hAnsi="Arial" w:cs="Arial"/>
                <w:color w:val="000000"/>
                <w:lang w:eastAsia="es-CO"/>
              </w:rPr>
            </w:pPr>
            <w:r w:rsidRPr="00737D3D">
              <w:rPr>
                <w:rFonts w:ascii="Arial" w:eastAsia="Times New Roman" w:hAnsi="Arial" w:cs="Arial"/>
                <w:b/>
                <w:color w:val="000000"/>
                <w:lang w:eastAsia="es-CO"/>
              </w:rPr>
              <w:t>(En el presente caso una vez se incorporaron pruebas, se fijó el litigio, a fin de hacer efectivos los principios de economía y celeridad procesal, se procedió a dar traslado a las partes para que presentarán sus ale</w:t>
            </w:r>
            <w:r w:rsidR="00494F33" w:rsidRPr="00737D3D">
              <w:rPr>
                <w:rFonts w:ascii="Arial" w:eastAsia="Times New Roman" w:hAnsi="Arial" w:cs="Arial"/>
                <w:b/>
                <w:color w:val="000000"/>
                <w:lang w:eastAsia="es-CO"/>
              </w:rPr>
              <w:t>gatos de conclusión por escrito</w:t>
            </w:r>
            <w:r w:rsidRPr="00737D3D">
              <w:rPr>
                <w:rFonts w:ascii="Arial" w:eastAsia="Times New Roman" w:hAnsi="Arial" w:cs="Arial"/>
                <w:b/>
                <w:color w:val="000000"/>
                <w:lang w:eastAsia="es-CO"/>
              </w:rPr>
              <w:t>).</w:t>
            </w:r>
            <w:r>
              <w:rPr>
                <w:rFonts w:ascii="Arial" w:eastAsia="Times New Roman" w:hAnsi="Arial" w:cs="Arial"/>
                <w:b/>
                <w:color w:val="000000"/>
                <w:lang w:eastAsia="es-CO"/>
              </w:rPr>
              <w:t xml:space="preserve">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Default="002E6E2E" w:rsidP="00D500BA">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w:t>
            </w:r>
            <w:r>
              <w:rPr>
                <w:rFonts w:ascii="Arial" w:eastAsia="Times New Roman" w:hAnsi="Arial" w:cs="Arial"/>
                <w:color w:val="000000"/>
                <w:lang w:eastAsia="es-CO"/>
              </w:rPr>
              <w:t xml:space="preserve"> por escrito posteriormente.</w:t>
            </w:r>
          </w:p>
          <w:p w:rsidR="002E6E2E" w:rsidRDefault="002E6E2E" w:rsidP="00D500BA">
            <w:pPr>
              <w:spacing w:after="0" w:line="240" w:lineRule="auto"/>
              <w:ind w:left="720"/>
              <w:jc w:val="both"/>
              <w:textAlignment w:val="baseline"/>
              <w:rPr>
                <w:rFonts w:ascii="Arial" w:eastAsia="Times New Roman" w:hAnsi="Arial" w:cs="Arial"/>
                <w:color w:val="000000"/>
                <w:lang w:eastAsia="es-CO"/>
              </w:rPr>
            </w:pPr>
          </w:p>
          <w:p w:rsidR="002E6E2E" w:rsidRPr="001339ED" w:rsidRDefault="002E6E2E" w:rsidP="00D500BA">
            <w:pPr>
              <w:spacing w:after="0" w:line="240" w:lineRule="auto"/>
              <w:ind w:left="720"/>
              <w:jc w:val="both"/>
              <w:textAlignment w:val="baseline"/>
              <w:rPr>
                <w:rFonts w:ascii="Arial" w:eastAsia="Times New Roman" w:hAnsi="Arial" w:cs="Arial"/>
                <w:b/>
                <w:color w:val="000000"/>
                <w:lang w:eastAsia="es-CO"/>
              </w:rPr>
            </w:pPr>
            <w:r w:rsidRPr="00C452FB">
              <w:rPr>
                <w:rFonts w:ascii="Arial" w:eastAsia="Times New Roman" w:hAnsi="Arial" w:cs="Arial"/>
                <w:b/>
                <w:color w:val="000000"/>
                <w:lang w:eastAsia="es-CO"/>
              </w:rPr>
              <w:t>(En el presente asunto previó a incorporar las pruebas, fijar el litigio y correr traslado para alegar, se realizó un pronunciamiento expresando las razones por la cuales se procedía a dictar sentencia anticipada).</w:t>
            </w:r>
            <w:r w:rsidRPr="001339ED">
              <w:rPr>
                <w:rFonts w:ascii="Arial" w:eastAsia="Times New Roman" w:hAnsi="Arial" w:cs="Arial"/>
                <w:b/>
                <w:color w:val="000000"/>
                <w:lang w:eastAsia="es-CO"/>
              </w:rPr>
              <w:t xml:space="preserve">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2E6E2E" w:rsidRDefault="002E6E2E" w:rsidP="00D500BA">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w:t>
            </w:r>
            <w:r w:rsidRPr="00BC0560">
              <w:rPr>
                <w:rFonts w:ascii="Arial" w:eastAsia="Times New Roman" w:hAnsi="Arial" w:cs="Arial"/>
                <w:i/>
                <w:iCs/>
                <w:color w:val="000000"/>
                <w:sz w:val="18"/>
                <w:szCs w:val="18"/>
                <w:lang w:eastAsia="es-CO"/>
              </w:rPr>
              <w:lastRenderedPageBreak/>
              <w:t xml:space="preserve">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w:t>
            </w:r>
            <w:proofErr w:type="gramStart"/>
            <w:r w:rsidRPr="00BC0560">
              <w:rPr>
                <w:rFonts w:ascii="Arial" w:eastAsia="Times New Roman" w:hAnsi="Arial" w:cs="Arial"/>
                <w:i/>
                <w:iCs/>
                <w:color w:val="000000"/>
                <w:sz w:val="18"/>
                <w:szCs w:val="18"/>
                <w:lang w:eastAsia="es-CO"/>
              </w:rPr>
              <w:t>veintiuno</w:t>
            </w:r>
            <w:proofErr w:type="gramEnd"/>
            <w:r w:rsidRPr="00BC0560">
              <w:rPr>
                <w:rFonts w:ascii="Arial" w:eastAsia="Times New Roman" w:hAnsi="Arial" w:cs="Arial"/>
                <w:i/>
                <w:iCs/>
                <w:color w:val="000000"/>
                <w:sz w:val="18"/>
                <w:szCs w:val="18"/>
                <w:lang w:eastAsia="es-CO"/>
              </w:rPr>
              <w:t xml:space="preserve"> (21) de junio de dos mil veintiuno (2021). Referencia del expediente: 11001032500020180079100 (3026-2018). </w:t>
            </w:r>
          </w:p>
          <w:p w:rsidR="002E6E2E" w:rsidRPr="009E03CD" w:rsidRDefault="002E6E2E" w:rsidP="00D500BA">
            <w:pPr>
              <w:spacing w:after="0" w:line="240" w:lineRule="auto"/>
              <w:jc w:val="both"/>
              <w:rPr>
                <w:rFonts w:ascii="Arial" w:eastAsia="Times New Roman" w:hAnsi="Arial" w:cs="Arial"/>
                <w:b/>
                <w:color w:val="000000"/>
                <w:lang w:eastAsia="es-CO"/>
              </w:rPr>
            </w:pPr>
          </w:p>
          <w:p w:rsidR="002E6E2E" w:rsidRDefault="002E6E2E" w:rsidP="00D500BA">
            <w:pPr>
              <w:spacing w:after="0" w:line="240" w:lineRule="auto"/>
              <w:ind w:left="731"/>
              <w:jc w:val="both"/>
              <w:rPr>
                <w:rFonts w:ascii="Arial" w:eastAsia="Times New Roman" w:hAnsi="Arial" w:cs="Arial"/>
                <w:b/>
                <w:color w:val="000000"/>
                <w:lang w:eastAsia="es-CO"/>
              </w:rPr>
            </w:pPr>
            <w:r w:rsidRPr="00C452FB">
              <w:rPr>
                <w:rFonts w:ascii="Arial" w:eastAsia="Times New Roman" w:hAnsi="Arial" w:cs="Arial"/>
                <w:b/>
                <w:color w:val="000000"/>
                <w:lang w:eastAsia="es-CO"/>
              </w:rPr>
              <w:t>Respuesta: Durante el termino dispuesto para la presentación de alegatos. La parte actora y la parte demandada presentaron sus alegatos de conclusión, por lo que se procedió a dictar sentencia anticipada.</w:t>
            </w:r>
            <w:r>
              <w:rPr>
                <w:rFonts w:ascii="Arial" w:eastAsia="Times New Roman" w:hAnsi="Arial" w:cs="Arial"/>
                <w:b/>
                <w:color w:val="000000"/>
                <w:lang w:eastAsia="es-CO"/>
              </w:rPr>
              <w:t xml:space="preserve"> </w:t>
            </w:r>
          </w:p>
          <w:p w:rsidR="002E6E2E" w:rsidRPr="009E03CD" w:rsidRDefault="002E6E2E" w:rsidP="00D500BA">
            <w:pPr>
              <w:spacing w:after="0" w:line="240" w:lineRule="auto"/>
              <w:jc w:val="both"/>
              <w:rPr>
                <w:rFonts w:ascii="Arial" w:eastAsia="Times New Roman" w:hAnsi="Arial" w:cs="Arial"/>
                <w:b/>
                <w:color w:val="000000"/>
                <w:lang w:eastAsia="es-CO"/>
              </w:rPr>
            </w:pPr>
          </w:p>
          <w:p w:rsidR="002E6E2E" w:rsidRPr="00BC0560" w:rsidRDefault="002E6E2E" w:rsidP="00D500BA">
            <w:pPr>
              <w:spacing w:after="0" w:line="240" w:lineRule="auto"/>
              <w:jc w:val="both"/>
              <w:rPr>
                <w:rFonts w:ascii="Times New Roman" w:eastAsia="Times New Roman" w:hAnsi="Times New Roman" w:cs="Times New Roman"/>
                <w:sz w:val="24"/>
                <w:szCs w:val="24"/>
                <w:lang w:eastAsia="es-CO"/>
              </w:rPr>
            </w:pPr>
          </w:p>
        </w:tc>
      </w:tr>
      <w:tr w:rsidR="002E6E2E"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E6E2E" w:rsidRPr="00BC0560" w:rsidRDefault="002E6E2E" w:rsidP="00D500BA">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2E6E2E" w:rsidRPr="00BC0560" w:rsidRDefault="002E6E2E" w:rsidP="00D500BA">
            <w:pPr>
              <w:spacing w:after="24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2E6E2E" w:rsidRPr="00BC0560" w:rsidRDefault="002E6E2E" w:rsidP="00D500BA">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2E6E2E"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E6E2E" w:rsidRPr="00BC0560" w:rsidRDefault="002E6E2E" w:rsidP="00D500BA">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2E6E2E"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E6E2E" w:rsidRPr="00BC0560" w:rsidRDefault="002E6E2E" w:rsidP="00D500BA">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2E6E2E" w:rsidRPr="00BC0560" w:rsidRDefault="002E6E2E"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E6E2E" w:rsidRPr="00BC0560" w:rsidRDefault="002E6E2E" w:rsidP="00D500BA">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2E6E2E" w:rsidRPr="00BC0560" w:rsidRDefault="002E6E2E" w:rsidP="00D500BA">
            <w:pPr>
              <w:spacing w:after="240" w:line="240" w:lineRule="auto"/>
              <w:rPr>
                <w:rFonts w:ascii="Times New Roman" w:eastAsia="Times New Roman" w:hAnsi="Times New Roman" w:cs="Times New Roman"/>
                <w:sz w:val="24"/>
                <w:szCs w:val="24"/>
                <w:lang w:eastAsia="es-CO"/>
              </w:rPr>
            </w:pPr>
          </w:p>
        </w:tc>
      </w:tr>
    </w:tbl>
    <w:p w:rsidR="002E6E2E" w:rsidRDefault="002E6E2E" w:rsidP="002E6E2E"/>
    <w:p w:rsidR="002E6E2E" w:rsidRDefault="002E6E2E" w:rsidP="002E6E2E"/>
    <w:p w:rsidR="001F3068" w:rsidRDefault="00C452FB"/>
    <w:sectPr w:rsidR="001F306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E2E"/>
    <w:rsid w:val="002E6E2E"/>
    <w:rsid w:val="00494F33"/>
    <w:rsid w:val="00737D3D"/>
    <w:rsid w:val="00C452FB"/>
    <w:rsid w:val="00D64543"/>
    <w:rsid w:val="00DB5AEE"/>
    <w:rsid w:val="00FF70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9AB78-0C38-49EB-9689-9703AB88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E2E"/>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1190</Words>
  <Characters>6546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Jose Gomez Camargo</dc:creator>
  <cp:keywords/>
  <dc:description/>
  <cp:lastModifiedBy>ROXANA ANGULO</cp:lastModifiedBy>
  <cp:revision>3</cp:revision>
  <dcterms:created xsi:type="dcterms:W3CDTF">2021-09-06T01:53:00Z</dcterms:created>
  <dcterms:modified xsi:type="dcterms:W3CDTF">2021-09-06T02:36:00Z</dcterms:modified>
</cp:coreProperties>
</file>