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041025E"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5006C6">
        <w:rPr>
          <w:rFonts w:ascii="Arial" w:eastAsia="Calibri" w:hAnsi="Arial" w:cs="Arial"/>
          <w:lang w:val="es-MX"/>
        </w:rPr>
        <w:t xml:space="preserve"> Juanita del Pilar Matiz Cifuentes</w:t>
      </w:r>
    </w:p>
    <w:p w14:paraId="5F7DBDD4" w14:textId="3902FF42"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5006C6">
        <w:rPr>
          <w:rFonts w:ascii="Arial" w:hAnsi="Arial" w:cs="Arial"/>
          <w:lang w:val="es-MX"/>
        </w:rPr>
        <w:t>3 de septiembre de 2021</w:t>
      </w:r>
    </w:p>
    <w:p w14:paraId="75E84AC6" w14:textId="5A8BB0FD"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5006C6">
        <w:rPr>
          <w:rFonts w:ascii="Arial" w:hAnsi="Arial" w:cs="Arial"/>
          <w:lang w:val="es-MX"/>
        </w:rPr>
        <w:t>Nulidad y Restablecimiento del derecho</w:t>
      </w:r>
    </w:p>
    <w:p w14:paraId="6B89892F" w14:textId="146C032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5006C6">
        <w:rPr>
          <w:rFonts w:ascii="Arial" w:hAnsi="Arial" w:cs="Arial"/>
          <w:lang w:val="es-MX"/>
        </w:rPr>
        <w:t xml:space="preserve"> Víctor Hernán Díaz</w:t>
      </w:r>
    </w:p>
    <w:p w14:paraId="1660C8A3" w14:textId="376EBAE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5006C6">
        <w:rPr>
          <w:rFonts w:ascii="Arial" w:hAnsi="Arial" w:cs="Arial"/>
          <w:lang w:val="es-MX"/>
        </w:rPr>
        <w:t xml:space="preserve"> Caja de Retiro de las Fuerzas Militares - CREMIL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0F549B79" w:rsidR="002971BC" w:rsidRDefault="002971BC" w:rsidP="000F105D">
            <w:pPr>
              <w:pStyle w:val="Sinespaciado"/>
              <w:rPr>
                <w:rFonts w:ascii="Arial" w:eastAsia="Calibri" w:hAnsi="Arial" w:cs="Arial"/>
                <w:lang w:val="es-MX"/>
              </w:rPr>
            </w:pPr>
          </w:p>
          <w:p w14:paraId="2CC313E5" w14:textId="77777777" w:rsidR="005006C6" w:rsidRPr="001F2D25" w:rsidRDefault="005006C6" w:rsidP="005006C6">
            <w:pPr>
              <w:pStyle w:val="Sinespaciado"/>
              <w:rPr>
                <w:rFonts w:ascii="Arial" w:eastAsia="Calibri" w:hAnsi="Arial" w:cs="Arial"/>
                <w:lang w:val="es-MX"/>
              </w:rPr>
            </w:pPr>
            <w:r w:rsidRPr="001F2D25">
              <w:rPr>
                <w:rFonts w:ascii="Arial" w:eastAsia="Calibri" w:hAnsi="Arial" w:cs="Arial"/>
                <w:lang w:val="es-MX"/>
              </w:rPr>
              <w:t>(Arts. 172, 175, 199 del CPACA)</w:t>
            </w:r>
          </w:p>
          <w:p w14:paraId="3BDD1D8A" w14:textId="77777777" w:rsidR="005006C6" w:rsidRDefault="005006C6" w:rsidP="000F105D">
            <w:pPr>
              <w:pStyle w:val="Sinespaciado"/>
              <w:rPr>
                <w:rFonts w:ascii="Arial" w:eastAsia="Calibri" w:hAnsi="Arial" w:cs="Arial"/>
                <w:lang w:val="es-MX"/>
              </w:rPr>
            </w:pPr>
          </w:p>
          <w:p w14:paraId="6E714679" w14:textId="5E309DDF" w:rsidR="005006C6" w:rsidRPr="009F75FF" w:rsidRDefault="005006C6" w:rsidP="005006C6">
            <w:pPr>
              <w:pStyle w:val="Sinespaciado"/>
              <w:jc w:val="both"/>
              <w:rPr>
                <w:rFonts w:ascii="Arial" w:eastAsia="Calibri" w:hAnsi="Arial" w:cs="Arial"/>
                <w:b/>
                <w:bCs/>
                <w:u w:val="single"/>
                <w:lang w:val="es-MX"/>
              </w:rPr>
            </w:pPr>
            <w:r w:rsidRPr="009F75FF">
              <w:rPr>
                <w:rFonts w:ascii="Arial" w:eastAsia="Calibri" w:hAnsi="Arial" w:cs="Arial"/>
                <w:b/>
                <w:bCs/>
                <w:u w:val="single"/>
                <w:lang w:val="es-MX"/>
              </w:rPr>
              <w:t xml:space="preserve">Una vez revisado el proceso, en efecto se encuentra vencido el traslado para contestar la demanda y no hay ninguna excepción previa pendiente de </w:t>
            </w:r>
            <w:r w:rsidR="009F75FF" w:rsidRPr="009F75FF">
              <w:rPr>
                <w:rFonts w:ascii="Arial" w:eastAsia="Calibri" w:hAnsi="Arial" w:cs="Arial"/>
                <w:b/>
                <w:bCs/>
                <w:u w:val="single"/>
                <w:lang w:val="es-MX"/>
              </w:rPr>
              <w:t xml:space="preserve">resolver. </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1345D948">
                      <wp:simplePos x="0" y="0"/>
                      <wp:positionH relativeFrom="column">
                        <wp:posOffset>3484880</wp:posOffset>
                      </wp:positionH>
                      <wp:positionV relativeFrom="paragraph">
                        <wp:posOffset>149224</wp:posOffset>
                      </wp:positionV>
                      <wp:extent cx="419100" cy="25717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419100"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5DE0EF" w14:textId="53AB1300" w:rsidR="009F75FF" w:rsidRPr="009F75FF" w:rsidRDefault="009F75FF" w:rsidP="009F75FF">
                                  <w:pPr>
                                    <w:jc w:val="center"/>
                                    <w:rPr>
                                      <w:lang w:val="es-ES"/>
                                    </w:rPr>
                                  </w:pPr>
                                  <w:proofErr w:type="spellStart"/>
                                  <w:r>
                                    <w:rPr>
                                      <w:lang w:val="es-ES"/>
                                    </w:rPr>
                                    <w:t>NOno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75pt;width:33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" fillcolor="white [3201]" strokecolor="#70ad47 [3209]" strokeweight="1pt">
                      <v:textbox>
                        <w:txbxContent>
                          <w:p w14:paraId="235DE0EF" w14:textId="53AB1300" w:rsidR="009F75FF" w:rsidRPr="009F75FF" w:rsidRDefault="009F75FF" w:rsidP="009F75FF">
                            <w:pPr>
                              <w:jc w:val="center"/>
                              <w:rPr>
                                <w:lang w:val="es-ES"/>
                              </w:rPr>
                            </w:pPr>
                            <w:proofErr w:type="spellStart"/>
                            <w:r>
                              <w:rPr>
                                <w:lang w:val="es-ES"/>
                              </w:rPr>
                              <w:t>NOno</w:t>
                            </w:r>
                            <w:proofErr w:type="spellEnd"/>
                          </w:p>
                        </w:txbxContent>
                      </v:textbox>
                    </v:rect>
                  </w:pict>
                </mc:Fallback>
              </mc:AlternateContent>
            </w:r>
          </w:p>
          <w:p w14:paraId="7084DB52" w14:textId="77777777" w:rsidR="009F75FF"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xml:space="preserve">) Cuando se trate de asuntos de puro </w:t>
            </w:r>
            <w:proofErr w:type="gramStart"/>
            <w:r w:rsidRPr="001F2D25">
              <w:rPr>
                <w:rFonts w:ascii="Arial" w:hAnsi="Arial" w:cs="Arial"/>
                <w:i/>
              </w:rPr>
              <w:t>derecho;  </w:t>
            </w:r>
            <w:r w:rsidR="009F75FF">
              <w:rPr>
                <w:rFonts w:ascii="Arial" w:hAnsi="Arial" w:cs="Arial"/>
                <w:i/>
              </w:rPr>
              <w:t>N</w:t>
            </w:r>
            <w:proofErr w:type="gramEnd"/>
          </w:p>
          <w:p w14:paraId="78F92171" w14:textId="5C16C4B3"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3C62B30E">
                      <wp:simplePos x="0" y="0"/>
                      <wp:positionH relativeFrom="column">
                        <wp:posOffset>3122929</wp:posOffset>
                      </wp:positionH>
                      <wp:positionV relativeFrom="paragraph">
                        <wp:posOffset>151765</wp:posOffset>
                      </wp:positionV>
                      <wp:extent cx="428625" cy="26670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42862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8CB3EA" w14:textId="63996D8A" w:rsidR="009F75FF" w:rsidRPr="009F75FF" w:rsidRDefault="009F75FF" w:rsidP="009F75FF">
                                  <w:pPr>
                                    <w:jc w:val="center"/>
                                    <w:rPr>
                                      <w:lang w:val="es-ES"/>
                                    </w:rPr>
                                  </w:pPr>
                                  <w:r>
                                    <w:rPr>
                                      <w:lang w:val="es-ES"/>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95pt;width:33.7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" fillcolor="white [3201]" strokecolor="#70ad47 [3209]" strokeweight="1pt">
                      <v:textbox>
                        <w:txbxContent>
                          <w:p w14:paraId="0A8CB3EA" w14:textId="63996D8A" w:rsidR="009F75FF" w:rsidRPr="009F75FF" w:rsidRDefault="009F75FF" w:rsidP="009F75FF">
                            <w:pPr>
                              <w:jc w:val="center"/>
                              <w:rPr>
                                <w:lang w:val="es-ES"/>
                              </w:rPr>
                            </w:pPr>
                            <w:r>
                              <w:rPr>
                                <w:lang w:val="es-ES"/>
                              </w:rPr>
                              <w:t>NO</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439EE8BF">
                      <wp:simplePos x="0" y="0"/>
                      <wp:positionH relativeFrom="column">
                        <wp:posOffset>1608454</wp:posOffset>
                      </wp:positionH>
                      <wp:positionV relativeFrom="paragraph">
                        <wp:posOffset>327025</wp:posOffset>
                      </wp:positionV>
                      <wp:extent cx="409575" cy="285750"/>
                      <wp:effectExtent l="0" t="0" r="28575" b="19050"/>
                      <wp:wrapNone/>
                      <wp:docPr id="15" name="Rectángulo 15"/>
                      <wp:cNvGraphicFramePr/>
                      <a:graphic xmlns:a="http://schemas.openxmlformats.org/drawingml/2006/main">
                        <a:graphicData uri="http://schemas.microsoft.com/office/word/2010/wordprocessingShape">
                          <wps:wsp>
                            <wps:cNvSpPr/>
                            <wps:spPr>
                              <a:xfrm>
                                <a:off x="0" y="0"/>
                                <a:ext cx="409575"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3E9DC" w14:textId="4DB14179" w:rsidR="009F75FF" w:rsidRPr="009F75FF" w:rsidRDefault="009F75FF" w:rsidP="009F75FF">
                                  <w:pPr>
                                    <w:jc w:val="center"/>
                                    <w:rPr>
                                      <w:lang w:val="es-ES"/>
                                    </w:rPr>
                                  </w:pPr>
                                  <w:r>
                                    <w:rPr>
                                      <w:lang w:val="es-ES"/>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75pt;width:32.2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" fillcolor="white [3201]" strokecolor="#70ad47 [3209]" strokeweight="1pt">
                      <v:textbox>
                        <w:txbxContent>
                          <w:p w14:paraId="7C43E9DC" w14:textId="4DB14179" w:rsidR="009F75FF" w:rsidRPr="009F75FF" w:rsidRDefault="009F75FF" w:rsidP="009F75FF">
                            <w:pPr>
                              <w:jc w:val="center"/>
                              <w:rPr>
                                <w:lang w:val="es-ES"/>
                              </w:rPr>
                            </w:pPr>
                            <w:r>
                              <w:rPr>
                                <w:lang w:val="es-ES"/>
                              </w:rPr>
                              <w:t>SI</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397C04F5">
                      <wp:simplePos x="0" y="0"/>
                      <wp:positionH relativeFrom="column">
                        <wp:posOffset>1017905</wp:posOffset>
                      </wp:positionH>
                      <wp:positionV relativeFrom="paragraph">
                        <wp:posOffset>179704</wp:posOffset>
                      </wp:positionV>
                      <wp:extent cx="400050" cy="295275"/>
                      <wp:effectExtent l="0" t="0" r="19050" b="28575"/>
                      <wp:wrapNone/>
                      <wp:docPr id="18" name="Rectángulo 18"/>
                      <wp:cNvGraphicFramePr/>
                      <a:graphic xmlns:a="http://schemas.openxmlformats.org/drawingml/2006/main">
                        <a:graphicData uri="http://schemas.microsoft.com/office/word/2010/wordprocessingShape">
                          <wps:wsp>
                            <wps:cNvSpPr/>
                            <wps:spPr>
                              <a:xfrm>
                                <a:off x="0" y="0"/>
                                <a:ext cx="40005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53924B" w14:textId="5F0AE36C" w:rsidR="009F75FF" w:rsidRPr="009F75FF" w:rsidRDefault="009F75FF" w:rsidP="009F75FF">
                                  <w:pPr>
                                    <w:jc w:val="center"/>
                                    <w:rPr>
                                      <w:lang w:val="es-ES"/>
                                    </w:rPr>
                                  </w:pPr>
                                  <w:r>
                                    <w:rPr>
                                      <w:lang w:val="es-ES"/>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9" style="position:absolute;left:0;text-align:left;margin-left:80.15pt;margin-top:14.15pt;width:31.5pt;height:2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" fillcolor="white [3201]" strokecolor="#70ad47 [3209]" strokeweight="1pt">
                      <v:textbox>
                        <w:txbxContent>
                          <w:p w14:paraId="2353924B" w14:textId="5F0AE36C" w:rsidR="009F75FF" w:rsidRPr="009F75FF" w:rsidRDefault="009F75FF" w:rsidP="009F75FF">
                            <w:pPr>
                              <w:jc w:val="center"/>
                              <w:rPr>
                                <w:lang w:val="es-ES"/>
                              </w:rPr>
                            </w:pPr>
                            <w:r>
                              <w:rPr>
                                <w:lang w:val="es-ES"/>
                              </w:rPr>
                              <w:t>NO</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65D6FA93" w:rsidR="00D75A67" w:rsidRDefault="00D75A67" w:rsidP="00D75A67">
            <w:pPr>
              <w:pStyle w:val="Sinespaciado"/>
              <w:jc w:val="both"/>
              <w:rPr>
                <w:rFonts w:ascii="Arial" w:eastAsia="Calibri" w:hAnsi="Arial" w:cs="Arial"/>
                <w:lang w:val="es-MX"/>
              </w:rPr>
            </w:pPr>
          </w:p>
          <w:p w14:paraId="0357D5DD" w14:textId="64CAAFD3" w:rsidR="009F75FF" w:rsidRPr="009F75FF" w:rsidRDefault="009F75FF" w:rsidP="00D75A67">
            <w:pPr>
              <w:pStyle w:val="Sinespaciado"/>
              <w:jc w:val="both"/>
              <w:rPr>
                <w:rFonts w:ascii="Arial" w:eastAsia="Calibri" w:hAnsi="Arial" w:cs="Arial"/>
                <w:b/>
                <w:bCs/>
                <w:u w:val="single"/>
                <w:lang w:val="es-MX"/>
              </w:rPr>
            </w:pPr>
            <w:r w:rsidRPr="009F75FF">
              <w:rPr>
                <w:rFonts w:ascii="Arial" w:eastAsia="Calibri" w:hAnsi="Arial" w:cs="Arial"/>
                <w:b/>
                <w:bCs/>
                <w:u w:val="single"/>
                <w:lang w:val="es-MX"/>
              </w:rPr>
              <w:t xml:space="preserve">En efecto en el presente asunto se incorporan las pruebas documentales allegadas por las partes, en la demanda y la contestación de la misma y se fijó el litigio así: </w:t>
            </w:r>
          </w:p>
          <w:p w14:paraId="4EC81F92" w14:textId="7DCDDB79" w:rsidR="009F75FF" w:rsidRPr="009F75FF" w:rsidRDefault="009F75FF" w:rsidP="00D75A67">
            <w:pPr>
              <w:pStyle w:val="Sinespaciado"/>
              <w:jc w:val="both"/>
              <w:rPr>
                <w:rFonts w:ascii="Arial" w:eastAsia="Calibri" w:hAnsi="Arial" w:cs="Arial"/>
                <w:b/>
                <w:bCs/>
                <w:u w:val="single"/>
                <w:lang w:val="es-MX"/>
              </w:rPr>
            </w:pPr>
          </w:p>
          <w:p w14:paraId="5D69B953" w14:textId="7B604CD4" w:rsidR="009F75FF" w:rsidRPr="009F75FF" w:rsidRDefault="009F75FF" w:rsidP="009F75FF">
            <w:pPr>
              <w:spacing w:line="288" w:lineRule="auto"/>
              <w:jc w:val="both"/>
              <w:rPr>
                <w:rFonts w:ascii="Constantia" w:hAnsi="Constantia" w:cs="Arial"/>
                <w:b/>
                <w:bCs/>
                <w:i/>
                <w:u w:val="single"/>
              </w:rPr>
            </w:pPr>
            <w:r w:rsidRPr="009F75FF">
              <w:rPr>
                <w:rFonts w:ascii="Arial" w:eastAsia="Arial" w:hAnsi="Arial" w:cs="Arial"/>
                <w:b/>
                <w:bCs/>
                <w:u w:val="single"/>
              </w:rPr>
              <w:t>Se contrae a determinar ¿Si el accionante tiene derecho a que se reajuste su asignación de retiro teniendo en cuenta que al 70% de la asignación básica se le debe adicionar el 38.5% de la prima de antigüedad, o si la suma resultante de la asignación básica más el 38.5% de la prima de antigüedad se le debe aplicar el 70% como lo viene haciendo la entidad accionada</w:t>
            </w:r>
            <w:r w:rsidRPr="009F75FF">
              <w:rPr>
                <w:rFonts w:ascii="Arial" w:hAnsi="Arial" w:cs="Arial"/>
                <w:b/>
                <w:bCs/>
                <w:u w:val="single"/>
              </w:rPr>
              <w:t>?</w:t>
            </w:r>
          </w:p>
          <w:p w14:paraId="5C1A7380" w14:textId="77777777" w:rsidR="009F75FF" w:rsidRPr="001F2D25" w:rsidRDefault="009F75FF"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4851AA0E" w14:textId="28E59E92" w:rsidR="009F75FF"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Correr traslado para alegar de conclusión en la forma prevista en el inciso final del artículo 181 del CPACA, y,</w:t>
            </w:r>
          </w:p>
          <w:p w14:paraId="0C0108FB" w14:textId="77777777" w:rsidR="009F75FF" w:rsidRDefault="009F75FF" w:rsidP="009F75FF">
            <w:pPr>
              <w:pStyle w:val="Sinespaciado"/>
              <w:ind w:left="720"/>
              <w:jc w:val="both"/>
              <w:rPr>
                <w:rFonts w:ascii="Arial" w:eastAsia="Calibri" w:hAnsi="Arial" w:cs="Arial"/>
                <w:lang w:val="es-MX"/>
              </w:rPr>
            </w:pPr>
          </w:p>
          <w:p w14:paraId="5F28925A" w14:textId="130086A0" w:rsidR="00D75A67" w:rsidRPr="009F75FF" w:rsidRDefault="009F75FF" w:rsidP="009F75FF">
            <w:pPr>
              <w:pStyle w:val="Sinespaciado"/>
              <w:jc w:val="both"/>
              <w:rPr>
                <w:rFonts w:ascii="Arial" w:eastAsia="Calibri" w:hAnsi="Arial" w:cs="Arial"/>
                <w:b/>
                <w:bCs/>
                <w:u w:val="single"/>
                <w:lang w:val="es-MX"/>
              </w:rPr>
            </w:pPr>
            <w:r w:rsidRPr="009F75FF">
              <w:rPr>
                <w:rFonts w:ascii="Arial" w:eastAsia="Calibri" w:hAnsi="Arial" w:cs="Arial"/>
                <w:b/>
                <w:bCs/>
                <w:u w:val="single"/>
                <w:lang w:val="es-MX"/>
              </w:rPr>
              <w:t xml:space="preserve">En la misma providencia que se incorporó la documental se corrió traslado para alegar de conclusión por el término de 10 días, oportunidad en que las partes presentaron los escritos correspondientes.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16395370" w:rsidR="005C690E"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076914B6" w14:textId="77777777" w:rsidR="009F75FF" w:rsidRDefault="009F75FF" w:rsidP="009F75FF">
            <w:pPr>
              <w:pStyle w:val="Prrafodelista"/>
              <w:rPr>
                <w:rFonts w:ascii="Arial" w:eastAsia="Calibri" w:hAnsi="Arial" w:cs="Arial"/>
                <w:lang w:val="es-MX"/>
              </w:rPr>
            </w:pPr>
          </w:p>
          <w:p w14:paraId="51949D4F" w14:textId="77777777" w:rsidR="009F75FF" w:rsidRPr="009F75FF" w:rsidRDefault="009F75FF" w:rsidP="009F75FF">
            <w:pPr>
              <w:pStyle w:val="Sinespaciado"/>
              <w:jc w:val="both"/>
              <w:rPr>
                <w:rFonts w:ascii="Arial" w:eastAsia="Calibri" w:hAnsi="Arial" w:cs="Arial"/>
                <w:b/>
                <w:bCs/>
                <w:u w:val="single"/>
                <w:lang w:val="es-MX"/>
              </w:rPr>
            </w:pPr>
            <w:r w:rsidRPr="009F75FF">
              <w:rPr>
                <w:rFonts w:ascii="Arial" w:eastAsia="Calibri" w:hAnsi="Arial" w:cs="Arial"/>
                <w:b/>
                <w:bCs/>
                <w:u w:val="single"/>
                <w:lang w:val="es-MX"/>
              </w:rPr>
              <w:t xml:space="preserve">Luego de vencido el traslado para alegar de conclusión, el proceso entró al despacho para sentencia profiriéndose la misma de manera escrita resolviendo: </w:t>
            </w:r>
          </w:p>
          <w:p w14:paraId="084FD819" w14:textId="77777777" w:rsidR="009F75FF" w:rsidRDefault="009F75FF" w:rsidP="009F75FF">
            <w:pPr>
              <w:pStyle w:val="Sinespaciado"/>
              <w:jc w:val="both"/>
              <w:rPr>
                <w:rFonts w:ascii="Arial" w:eastAsia="Calibri" w:hAnsi="Arial" w:cs="Arial"/>
                <w:lang w:val="es-MX"/>
              </w:rPr>
            </w:pPr>
          </w:p>
          <w:p w14:paraId="235543ED" w14:textId="56ADC16A" w:rsidR="009F75FF" w:rsidRPr="00FF3230" w:rsidRDefault="009F75FF" w:rsidP="009F75FF">
            <w:pPr>
              <w:spacing w:line="288" w:lineRule="auto"/>
              <w:jc w:val="center"/>
              <w:rPr>
                <w:rFonts w:ascii="Arial" w:hAnsi="Arial" w:cs="Arial"/>
                <w:b/>
              </w:rPr>
            </w:pPr>
            <w:r w:rsidRPr="00FF3230">
              <w:rPr>
                <w:rFonts w:ascii="Arial" w:hAnsi="Arial" w:cs="Arial"/>
                <w:b/>
              </w:rPr>
              <w:t>RESUELVE</w:t>
            </w:r>
          </w:p>
          <w:p w14:paraId="54B766DA" w14:textId="62E1F571" w:rsidR="009F75FF" w:rsidRPr="00FF3230" w:rsidRDefault="009F75FF" w:rsidP="009F75FF">
            <w:pPr>
              <w:spacing w:line="288" w:lineRule="auto"/>
              <w:jc w:val="both"/>
              <w:rPr>
                <w:rFonts w:ascii="Arial" w:hAnsi="Arial" w:cs="Arial"/>
              </w:rPr>
            </w:pPr>
            <w:proofErr w:type="gramStart"/>
            <w:r w:rsidRPr="00FF3230">
              <w:rPr>
                <w:rFonts w:ascii="Arial" w:hAnsi="Arial" w:cs="Arial"/>
                <w:b/>
              </w:rPr>
              <w:t>PRIMERO.-</w:t>
            </w:r>
            <w:proofErr w:type="gramEnd"/>
            <w:r w:rsidRPr="00FF3230">
              <w:rPr>
                <w:rFonts w:ascii="Arial" w:hAnsi="Arial" w:cs="Arial"/>
                <w:b/>
              </w:rPr>
              <w:t xml:space="preserve"> DECLÁRESE</w:t>
            </w:r>
            <w:r w:rsidRPr="00FF3230">
              <w:rPr>
                <w:rFonts w:ascii="Arial" w:hAnsi="Arial" w:cs="Arial"/>
              </w:rPr>
              <w:t xml:space="preserve"> la nulidad parcial de la </w:t>
            </w:r>
            <w:r w:rsidRPr="00FF3230">
              <w:rPr>
                <w:rFonts w:ascii="Arial" w:hAnsi="Arial" w:cs="Arial"/>
                <w:b/>
              </w:rPr>
              <w:t>Resolución 2164 del 27 de abril de 2011,</w:t>
            </w:r>
            <w:r w:rsidRPr="00FF3230">
              <w:rPr>
                <w:rFonts w:ascii="Arial" w:hAnsi="Arial" w:cs="Arial"/>
              </w:rPr>
              <w:t xml:space="preserve"> por la cual la Caja de Retiro de las Fuerzas Militares reconoció la asignación de retiro del señor </w:t>
            </w:r>
            <w:r w:rsidRPr="00FF3230">
              <w:rPr>
                <w:rFonts w:ascii="Arial" w:hAnsi="Arial" w:cs="Arial"/>
                <w:b/>
              </w:rPr>
              <w:t>Víctor Hernán Díaz</w:t>
            </w:r>
            <w:r w:rsidRPr="00FF3230">
              <w:rPr>
                <w:rFonts w:ascii="Arial" w:hAnsi="Arial" w:cs="Arial"/>
              </w:rPr>
              <w:t>, de conformidad con lo expuesto en la parte considerativa de la presente sentencia.</w:t>
            </w:r>
          </w:p>
          <w:p w14:paraId="1AF1A94A" w14:textId="77777777" w:rsidR="009F75FF" w:rsidRPr="00FF3230" w:rsidRDefault="009F75FF" w:rsidP="009F75FF">
            <w:pPr>
              <w:spacing w:line="288" w:lineRule="auto"/>
              <w:jc w:val="both"/>
              <w:rPr>
                <w:rFonts w:ascii="Arial" w:hAnsi="Arial" w:cs="Arial"/>
              </w:rPr>
            </w:pPr>
            <w:r w:rsidRPr="00FF3230">
              <w:rPr>
                <w:rFonts w:ascii="Arial" w:hAnsi="Arial" w:cs="Arial"/>
                <w:b/>
                <w:bCs/>
                <w:iCs/>
              </w:rPr>
              <w:t xml:space="preserve">SEGUNDO. - </w:t>
            </w:r>
            <w:r w:rsidRPr="00FF3230">
              <w:rPr>
                <w:rFonts w:ascii="Arial" w:hAnsi="Arial" w:cs="Arial"/>
                <w:b/>
              </w:rPr>
              <w:t>DECLÁRESE</w:t>
            </w:r>
            <w:r w:rsidRPr="00FF3230">
              <w:rPr>
                <w:rFonts w:ascii="Arial" w:hAnsi="Arial" w:cs="Arial"/>
              </w:rPr>
              <w:t xml:space="preserve"> la nulidad del acto administrativo</w:t>
            </w:r>
            <w:r w:rsidRPr="00FF3230">
              <w:rPr>
                <w:rFonts w:ascii="Arial" w:hAnsi="Arial" w:cs="Arial"/>
                <w:bCs/>
                <w:iCs/>
              </w:rPr>
              <w:t xml:space="preserve"> No </w:t>
            </w:r>
            <w:r w:rsidRPr="00FF3230">
              <w:rPr>
                <w:rFonts w:ascii="Arial" w:hAnsi="Arial" w:cs="Arial"/>
                <w:b/>
                <w:bCs/>
                <w:iCs/>
              </w:rPr>
              <w:t>CREMIL 205977433 del 16 de diciembre de 2020</w:t>
            </w:r>
            <w:r w:rsidRPr="00FF3230">
              <w:rPr>
                <w:rFonts w:ascii="Arial" w:hAnsi="Arial" w:cs="Arial"/>
                <w:b/>
              </w:rPr>
              <w:t>,</w:t>
            </w:r>
            <w:r w:rsidRPr="00FF3230">
              <w:rPr>
                <w:rFonts w:ascii="Arial" w:hAnsi="Arial" w:cs="Arial"/>
              </w:rPr>
              <w:t xml:space="preserve"> expedido por la Caja de Retiro de las Fuerzas Militares, por medio del cual, se negó el reconocimiento y pago del reajuste de la asignación de retiro al señor </w:t>
            </w:r>
            <w:r w:rsidRPr="00FF3230">
              <w:rPr>
                <w:rFonts w:ascii="Arial" w:hAnsi="Arial" w:cs="Arial"/>
                <w:b/>
              </w:rPr>
              <w:t>Víctor Hernán Díaz</w:t>
            </w:r>
            <w:r w:rsidRPr="00FF3230">
              <w:rPr>
                <w:rFonts w:ascii="Arial" w:hAnsi="Arial" w:cs="Arial"/>
              </w:rPr>
              <w:t xml:space="preserve">, de conformidad con lo expuesto en precedencia.  </w:t>
            </w:r>
          </w:p>
          <w:p w14:paraId="43F84B88" w14:textId="77777777" w:rsidR="009F75FF" w:rsidRPr="00FF3230" w:rsidRDefault="009F75FF" w:rsidP="009F75FF">
            <w:pPr>
              <w:spacing w:line="288" w:lineRule="auto"/>
              <w:jc w:val="both"/>
              <w:rPr>
                <w:rFonts w:ascii="Arial" w:hAnsi="Arial" w:cs="Arial"/>
              </w:rPr>
            </w:pPr>
          </w:p>
          <w:p w14:paraId="07B82F00" w14:textId="1191EC83" w:rsidR="009F75FF" w:rsidRPr="009F75FF" w:rsidRDefault="009F75FF" w:rsidP="009F75FF">
            <w:pPr>
              <w:spacing w:line="288" w:lineRule="auto"/>
              <w:jc w:val="both"/>
              <w:rPr>
                <w:rFonts w:ascii="Arial" w:hAnsi="Arial" w:cs="Arial"/>
                <w:iCs/>
              </w:rPr>
            </w:pPr>
            <w:r w:rsidRPr="00FF3230">
              <w:rPr>
                <w:rFonts w:ascii="Arial" w:hAnsi="Arial" w:cs="Arial"/>
                <w:b/>
                <w:bCs/>
                <w:iCs/>
              </w:rPr>
              <w:lastRenderedPageBreak/>
              <w:t xml:space="preserve">TERCERO. – DECLARESE </w:t>
            </w:r>
            <w:r w:rsidRPr="00FF3230">
              <w:rPr>
                <w:rFonts w:ascii="Arial" w:hAnsi="Arial" w:cs="Arial"/>
                <w:iCs/>
              </w:rPr>
              <w:t xml:space="preserve">probada la excepción de </w:t>
            </w:r>
            <w:r w:rsidRPr="00FF3230">
              <w:rPr>
                <w:rFonts w:ascii="Arial" w:hAnsi="Arial" w:cs="Arial"/>
                <w:b/>
                <w:bCs/>
                <w:iCs/>
              </w:rPr>
              <w:t xml:space="preserve">PRESCRIPCIÓN </w:t>
            </w:r>
            <w:r w:rsidRPr="00FF3230">
              <w:rPr>
                <w:rFonts w:ascii="Arial" w:hAnsi="Arial" w:cs="Arial"/>
                <w:iCs/>
              </w:rPr>
              <w:t xml:space="preserve">de los reajustes de las mesadas causadas con anterioridad al 9 de agosto de 2017, de conformidad con lo señalado en la parte motiva de la providencia. </w:t>
            </w:r>
          </w:p>
          <w:p w14:paraId="3FEFD4A3" w14:textId="77777777" w:rsidR="009F75FF" w:rsidRPr="00FF3230" w:rsidRDefault="009F75FF" w:rsidP="009F75FF">
            <w:pPr>
              <w:spacing w:line="288" w:lineRule="auto"/>
              <w:jc w:val="both"/>
              <w:rPr>
                <w:rFonts w:ascii="Arial" w:hAnsi="Arial" w:cs="Arial"/>
                <w:b/>
              </w:rPr>
            </w:pPr>
            <w:proofErr w:type="gramStart"/>
            <w:r w:rsidRPr="00FF3230">
              <w:rPr>
                <w:rFonts w:ascii="Arial" w:hAnsi="Arial" w:cs="Arial"/>
                <w:b/>
              </w:rPr>
              <w:t>CUARTO.-</w:t>
            </w:r>
            <w:proofErr w:type="gramEnd"/>
            <w:r w:rsidRPr="00FF3230">
              <w:rPr>
                <w:rFonts w:ascii="Arial" w:hAnsi="Arial" w:cs="Arial"/>
                <w:b/>
              </w:rPr>
              <w:t xml:space="preserve"> </w:t>
            </w:r>
            <w:r w:rsidRPr="00FF3230">
              <w:rPr>
                <w:rFonts w:ascii="Arial" w:hAnsi="Arial" w:cs="Arial"/>
                <w:bCs/>
                <w:iCs/>
              </w:rPr>
              <w:t xml:space="preserve">A título de restablecimiento del derecho, </w:t>
            </w:r>
            <w:r w:rsidRPr="00FF3230">
              <w:rPr>
                <w:rFonts w:ascii="Arial" w:hAnsi="Arial" w:cs="Arial"/>
              </w:rPr>
              <w:t xml:space="preserve">condenar a la CAJA DE RETIRO DE LAS FUERZAS MILITARES - CREMIL a reliquidar la asignación de retiro del soldado profesional (r) señor </w:t>
            </w:r>
            <w:r w:rsidRPr="00FF3230">
              <w:rPr>
                <w:rFonts w:ascii="Arial" w:hAnsi="Arial" w:cs="Arial"/>
                <w:b/>
              </w:rPr>
              <w:t>Víctor Hernán Díaz,</w:t>
            </w:r>
            <w:r w:rsidRPr="00FF3230">
              <w:rPr>
                <w:rFonts w:ascii="Arial" w:hAnsi="Arial" w:cs="Arial"/>
              </w:rPr>
              <w:t xml:space="preserve"> identificado con cédula de ciudadanía </w:t>
            </w:r>
            <w:proofErr w:type="spellStart"/>
            <w:r w:rsidRPr="00FF3230">
              <w:rPr>
                <w:rFonts w:ascii="Arial" w:hAnsi="Arial" w:cs="Arial"/>
              </w:rPr>
              <w:t>N°</w:t>
            </w:r>
            <w:proofErr w:type="spellEnd"/>
            <w:r w:rsidRPr="00FF3230">
              <w:rPr>
                <w:rFonts w:ascii="Arial" w:hAnsi="Arial" w:cs="Arial"/>
              </w:rPr>
              <w:t xml:space="preserve"> 13.990.724, desde el 31 de mayo de 2011, pero con efectos fiscales desde el 9 de diciembre de 2017, en virtud del fenómeno de la prescripción, así:</w:t>
            </w:r>
          </w:p>
          <w:p w14:paraId="6EBD4F8C" w14:textId="77777777" w:rsidR="009F75FF" w:rsidRPr="00FF3230" w:rsidRDefault="009F75FF" w:rsidP="009F75FF">
            <w:pPr>
              <w:pStyle w:val="Prrafodelista"/>
              <w:numPr>
                <w:ilvl w:val="0"/>
                <w:numId w:val="17"/>
              </w:numPr>
              <w:spacing w:after="0" w:line="288" w:lineRule="auto"/>
              <w:jc w:val="both"/>
              <w:rPr>
                <w:rFonts w:ascii="Arial" w:hAnsi="Arial" w:cs="Arial"/>
                <w:sz w:val="24"/>
                <w:szCs w:val="24"/>
              </w:rPr>
            </w:pPr>
            <w:r w:rsidRPr="00FF3230">
              <w:rPr>
                <w:rFonts w:ascii="Arial" w:hAnsi="Arial" w:cs="Arial"/>
                <w:sz w:val="24"/>
                <w:szCs w:val="24"/>
              </w:rPr>
              <w:t>Aplicando el 70% únicamente al salario básico, adicionándosele al resultado el 38.5% de la prima de antigüedad, conforme el tenor literal de las valoraciones efectuadas en esta providencia.</w:t>
            </w:r>
          </w:p>
          <w:p w14:paraId="6FA1A1FF" w14:textId="77777777" w:rsidR="009F75FF" w:rsidRPr="00FF3230" w:rsidRDefault="009F75FF" w:rsidP="009F75FF">
            <w:pPr>
              <w:spacing w:line="288" w:lineRule="auto"/>
              <w:ind w:left="360"/>
              <w:jc w:val="both"/>
              <w:rPr>
                <w:rFonts w:ascii="Arial" w:hAnsi="Arial" w:cs="Arial"/>
                <w:b/>
              </w:rPr>
            </w:pPr>
          </w:p>
          <w:p w14:paraId="26D0A275" w14:textId="77777777" w:rsidR="009F75FF" w:rsidRPr="00FF3230" w:rsidRDefault="009F75FF" w:rsidP="009F75FF">
            <w:pPr>
              <w:spacing w:line="288" w:lineRule="auto"/>
              <w:jc w:val="both"/>
              <w:rPr>
                <w:rFonts w:ascii="Arial" w:hAnsi="Arial" w:cs="Arial"/>
              </w:rPr>
            </w:pPr>
            <w:proofErr w:type="gramStart"/>
            <w:r w:rsidRPr="00FF3230">
              <w:rPr>
                <w:rFonts w:ascii="Arial" w:hAnsi="Arial" w:cs="Arial"/>
                <w:b/>
              </w:rPr>
              <w:t>QUINTO.-</w:t>
            </w:r>
            <w:proofErr w:type="gramEnd"/>
            <w:r w:rsidRPr="00FF3230">
              <w:rPr>
                <w:rFonts w:ascii="Arial" w:hAnsi="Arial" w:cs="Arial"/>
                <w:b/>
              </w:rPr>
              <w:t xml:space="preserve"> </w:t>
            </w:r>
            <w:r w:rsidRPr="00FF3230">
              <w:rPr>
                <w:rFonts w:ascii="Arial" w:hAnsi="Arial" w:cs="Arial"/>
              </w:rPr>
              <w:t xml:space="preserve">Las anteriores sumas deberán ser actualizadas, con fundamento en los índices de inflación certificados por el DANE teniendo en cuenta lo expuesto en la parte considerativa de la providencia.  </w:t>
            </w:r>
          </w:p>
          <w:p w14:paraId="2CF52EDB" w14:textId="77777777" w:rsidR="009F75FF" w:rsidRPr="00FF3230" w:rsidRDefault="009F75FF" w:rsidP="009F75FF">
            <w:pPr>
              <w:spacing w:line="288" w:lineRule="auto"/>
              <w:jc w:val="both"/>
              <w:rPr>
                <w:rFonts w:ascii="Arial" w:hAnsi="Arial" w:cs="Arial"/>
                <w:b/>
              </w:rPr>
            </w:pPr>
          </w:p>
          <w:p w14:paraId="551364EB" w14:textId="77777777" w:rsidR="009F75FF" w:rsidRPr="00FF3230" w:rsidRDefault="009F75FF" w:rsidP="009F75FF">
            <w:pPr>
              <w:spacing w:line="288" w:lineRule="auto"/>
              <w:jc w:val="both"/>
              <w:rPr>
                <w:rFonts w:ascii="Arial" w:hAnsi="Arial" w:cs="Arial"/>
                <w:bCs/>
                <w:iCs/>
              </w:rPr>
            </w:pPr>
            <w:proofErr w:type="gramStart"/>
            <w:r w:rsidRPr="00FF3230">
              <w:rPr>
                <w:rFonts w:ascii="Arial" w:hAnsi="Arial" w:cs="Arial"/>
                <w:b/>
              </w:rPr>
              <w:t>SEXTO.-</w:t>
            </w:r>
            <w:proofErr w:type="gramEnd"/>
            <w:r w:rsidRPr="00FF3230">
              <w:rPr>
                <w:rFonts w:ascii="Arial" w:hAnsi="Arial" w:cs="Arial"/>
                <w:b/>
              </w:rPr>
              <w:t xml:space="preserve"> </w:t>
            </w:r>
            <w:r w:rsidRPr="00FF3230">
              <w:rPr>
                <w:rFonts w:ascii="Arial" w:hAnsi="Arial" w:cs="Arial"/>
              </w:rPr>
              <w:t>La entidad demandada dará cumplimiento a la sentencia en los términos de los artículos 192 y 195 del C.P.A.C.A.</w:t>
            </w:r>
          </w:p>
          <w:p w14:paraId="641371A5" w14:textId="77777777" w:rsidR="009F75FF" w:rsidRPr="00FF3230" w:rsidRDefault="009F75FF" w:rsidP="009F75FF">
            <w:pPr>
              <w:spacing w:line="288" w:lineRule="auto"/>
              <w:jc w:val="both"/>
              <w:rPr>
                <w:rFonts w:ascii="Arial" w:hAnsi="Arial" w:cs="Arial"/>
                <w:b/>
              </w:rPr>
            </w:pPr>
          </w:p>
          <w:p w14:paraId="58FBC4D2" w14:textId="77777777" w:rsidR="009F75FF" w:rsidRPr="00FF3230" w:rsidRDefault="009F75FF" w:rsidP="009F75FF">
            <w:pPr>
              <w:pStyle w:val="BodyText21"/>
              <w:spacing w:line="288" w:lineRule="auto"/>
              <w:ind w:right="-42"/>
              <w:rPr>
                <w:rFonts w:ascii="Arial" w:hAnsi="Arial" w:cs="Arial"/>
                <w:szCs w:val="24"/>
                <w:lang w:val="es-ES"/>
              </w:rPr>
            </w:pPr>
            <w:proofErr w:type="gramStart"/>
            <w:r w:rsidRPr="00FF3230">
              <w:rPr>
                <w:rFonts w:ascii="Arial" w:hAnsi="Arial" w:cs="Arial"/>
                <w:b/>
              </w:rPr>
              <w:t>SÉPTIMO.-</w:t>
            </w:r>
            <w:proofErr w:type="gramEnd"/>
            <w:r w:rsidRPr="00FF3230">
              <w:rPr>
                <w:rFonts w:ascii="Arial" w:hAnsi="Arial" w:cs="Arial"/>
                <w:b/>
              </w:rPr>
              <w:t xml:space="preserve"> CONDÉNESE</w:t>
            </w:r>
            <w:r w:rsidRPr="00FF3230">
              <w:rPr>
                <w:rFonts w:ascii="Arial" w:hAnsi="Arial" w:cs="Arial"/>
              </w:rPr>
              <w:t xml:space="preserve"> en costas a la parte accionante de conformidad con lo dispuesto en los artículos 188 del CPACA y 365 del C. G. P, para lo cual se fija </w:t>
            </w:r>
            <w:r w:rsidRPr="00FF3230">
              <w:rPr>
                <w:rFonts w:ascii="Arial" w:hAnsi="Arial" w:cs="Arial"/>
                <w:b/>
              </w:rPr>
              <w:t xml:space="preserve">la suma equivalente al 4% de lo pedido </w:t>
            </w:r>
            <w:r w:rsidRPr="00FF3230">
              <w:rPr>
                <w:rFonts w:ascii="Arial" w:hAnsi="Arial" w:cs="Arial"/>
              </w:rPr>
              <w:t>como agencias en derecho.</w:t>
            </w:r>
          </w:p>
          <w:p w14:paraId="4DBA8C1F" w14:textId="77777777" w:rsidR="009F75FF" w:rsidRPr="00FF3230" w:rsidRDefault="009F75FF" w:rsidP="009F75FF">
            <w:pPr>
              <w:tabs>
                <w:tab w:val="left" w:pos="-2410"/>
                <w:tab w:val="left" w:pos="-720"/>
              </w:tabs>
              <w:suppressAutoHyphens/>
              <w:spacing w:line="288" w:lineRule="auto"/>
              <w:jc w:val="both"/>
              <w:rPr>
                <w:rFonts w:ascii="Arial" w:hAnsi="Arial" w:cs="Arial"/>
                <w:b/>
              </w:rPr>
            </w:pPr>
          </w:p>
          <w:p w14:paraId="089E6751" w14:textId="77777777" w:rsidR="009F75FF" w:rsidRPr="00FF3230" w:rsidRDefault="009F75FF" w:rsidP="009F75FF">
            <w:pPr>
              <w:spacing w:line="288" w:lineRule="auto"/>
              <w:jc w:val="both"/>
              <w:rPr>
                <w:rFonts w:ascii="Arial" w:hAnsi="Arial" w:cs="Arial"/>
              </w:rPr>
            </w:pPr>
            <w:proofErr w:type="gramStart"/>
            <w:r w:rsidRPr="00FF3230">
              <w:rPr>
                <w:rFonts w:ascii="Arial" w:hAnsi="Arial" w:cs="Arial"/>
                <w:b/>
                <w:bCs/>
              </w:rPr>
              <w:t>OCTAVO</w:t>
            </w:r>
            <w:r w:rsidRPr="00FF3230">
              <w:rPr>
                <w:rFonts w:ascii="Arial" w:hAnsi="Arial" w:cs="Arial"/>
              </w:rPr>
              <w:t>.-</w:t>
            </w:r>
            <w:proofErr w:type="gramEnd"/>
            <w:r w:rsidRPr="00FF3230">
              <w:rPr>
                <w:rFonts w:ascii="Arial" w:hAnsi="Arial" w:cs="Arial"/>
              </w:rPr>
              <w:t xml:space="preserve"> Para efectos de la notificación de la presente sentencia, se ordena que por Secretaría se realice conforme el artículo 203 y 205 de la Ley 1437 de 2011, modificada por la 2080 de 2021.</w:t>
            </w:r>
          </w:p>
          <w:p w14:paraId="3FEE510A" w14:textId="77777777" w:rsidR="009F75FF" w:rsidRPr="00FF3230" w:rsidRDefault="009F75FF" w:rsidP="009F75FF">
            <w:pPr>
              <w:spacing w:line="288" w:lineRule="auto"/>
              <w:jc w:val="both"/>
              <w:rPr>
                <w:rFonts w:ascii="Arial" w:hAnsi="Arial" w:cs="Arial"/>
                <w:b/>
              </w:rPr>
            </w:pPr>
          </w:p>
          <w:p w14:paraId="34A7B278" w14:textId="77777777" w:rsidR="009F75FF" w:rsidRPr="00FF3230" w:rsidRDefault="009F75FF" w:rsidP="009F75FF">
            <w:pPr>
              <w:tabs>
                <w:tab w:val="left" w:pos="-2410"/>
                <w:tab w:val="left" w:pos="-720"/>
              </w:tabs>
              <w:suppressAutoHyphens/>
              <w:spacing w:line="288" w:lineRule="auto"/>
              <w:jc w:val="both"/>
              <w:rPr>
                <w:rFonts w:ascii="Arial" w:hAnsi="Arial" w:cs="Arial"/>
              </w:rPr>
            </w:pPr>
            <w:r w:rsidRPr="00FF3230">
              <w:rPr>
                <w:rFonts w:ascii="Arial" w:hAnsi="Arial" w:cs="Arial"/>
                <w:b/>
              </w:rPr>
              <w:t>NOVENO. -</w:t>
            </w:r>
            <w:r w:rsidRPr="00FF3230">
              <w:rPr>
                <w:rFonts w:ascii="Arial" w:hAnsi="Arial" w:cs="Arial"/>
              </w:rPr>
              <w:t xml:space="preserve"> Expídanse copias con destino y a costa de las partes, con las precisiones del artículo 114 del C.G.P. las que serán entregadas al apoderado judicial que ha venido actuando.</w:t>
            </w:r>
          </w:p>
          <w:p w14:paraId="20766429" w14:textId="77777777" w:rsidR="009F75FF" w:rsidRPr="00FF3230" w:rsidRDefault="009F75FF" w:rsidP="009F75FF">
            <w:pPr>
              <w:tabs>
                <w:tab w:val="left" w:pos="-2410"/>
                <w:tab w:val="left" w:pos="-720"/>
              </w:tabs>
              <w:suppressAutoHyphens/>
              <w:spacing w:line="288" w:lineRule="auto"/>
              <w:jc w:val="both"/>
              <w:rPr>
                <w:rFonts w:ascii="Arial" w:hAnsi="Arial" w:cs="Arial"/>
                <w:b/>
              </w:rPr>
            </w:pPr>
          </w:p>
          <w:p w14:paraId="3042A2B7" w14:textId="76E40A24" w:rsidR="009F75FF" w:rsidRPr="009F75FF" w:rsidRDefault="009F75FF" w:rsidP="009F75FF">
            <w:pPr>
              <w:spacing w:line="288" w:lineRule="auto"/>
              <w:jc w:val="both"/>
              <w:rPr>
                <w:rFonts w:ascii="Arial" w:hAnsi="Arial" w:cs="Arial"/>
              </w:rPr>
            </w:pPr>
            <w:r w:rsidRPr="00FF3230">
              <w:rPr>
                <w:rFonts w:ascii="Arial" w:hAnsi="Arial" w:cs="Arial"/>
                <w:b/>
              </w:rPr>
              <w:t>DÉCIMO. -</w:t>
            </w:r>
            <w:r w:rsidRPr="00FF3230">
              <w:rPr>
                <w:rFonts w:ascii="Arial" w:hAnsi="Arial" w:cs="Arial"/>
              </w:rPr>
              <w:t xml:space="preserve"> En firme este fallo, archívese el expediente, previas las anotaciones correspondientes.</w:t>
            </w:r>
            <w:r>
              <w:rPr>
                <w:rFonts w:ascii="Arial" w:eastAsia="Calibri" w:hAnsi="Arial" w:cs="Arial"/>
                <w:lang w:val="es-MX"/>
              </w:rPr>
              <w:t xml:space="preserve"> </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lastRenderedPageBreak/>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FC541" w14:textId="77777777" w:rsidR="001B09FF" w:rsidRDefault="001B09FF">
      <w:pPr>
        <w:spacing w:after="0" w:line="240" w:lineRule="auto"/>
      </w:pPr>
      <w:r>
        <w:separator/>
      </w:r>
    </w:p>
  </w:endnote>
  <w:endnote w:type="continuationSeparator" w:id="0">
    <w:p w14:paraId="00D810B6" w14:textId="77777777" w:rsidR="001B09FF" w:rsidRDefault="001B0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ntique Olive">
    <w:charset w:val="00"/>
    <w:family w:val="swiss"/>
    <w:pitch w:val="variable"/>
    <w:sig w:usb0="00000007" w:usb1="00000000" w:usb2="00000000" w:usb3="00000000" w:csb0="00000093" w:csb1="00000000"/>
  </w:font>
  <w:font w:name="Constantia">
    <w:panose1 w:val="02030602050306030303"/>
    <w:charset w:val="00"/>
    <w:family w:val="roman"/>
    <w:pitch w:val="variable"/>
    <w:sig w:usb0="A00002EF" w:usb1="4000204B"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1B09F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1B09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D2BA9" w14:textId="77777777" w:rsidR="001B09FF" w:rsidRDefault="001B09FF">
      <w:pPr>
        <w:spacing w:after="0" w:line="240" w:lineRule="auto"/>
      </w:pPr>
      <w:r>
        <w:separator/>
      </w:r>
    </w:p>
  </w:footnote>
  <w:footnote w:type="continuationSeparator" w:id="0">
    <w:p w14:paraId="52EAB689" w14:textId="77777777" w:rsidR="001B09FF" w:rsidRDefault="001B09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C67711"/>
    <w:multiLevelType w:val="hybridMultilevel"/>
    <w:tmpl w:val="60F408E6"/>
    <w:lvl w:ilvl="0" w:tplc="EEACE218">
      <w:start w:val="11"/>
      <w:numFmt w:val="bullet"/>
      <w:lvlText w:val="-"/>
      <w:lvlJc w:val="left"/>
      <w:pPr>
        <w:ind w:left="720" w:hanging="360"/>
      </w:pPr>
      <w:rPr>
        <w:rFonts w:ascii="Arial" w:eastAsia="Calibri"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6"/>
  </w:num>
  <w:num w:numId="4">
    <w:abstractNumId w:val="2"/>
  </w:num>
  <w:num w:numId="5">
    <w:abstractNumId w:val="8"/>
  </w:num>
  <w:num w:numId="6">
    <w:abstractNumId w:val="9"/>
  </w:num>
  <w:num w:numId="7">
    <w:abstractNumId w:val="4"/>
  </w:num>
  <w:num w:numId="8">
    <w:abstractNumId w:val="12"/>
  </w:num>
  <w:num w:numId="9">
    <w:abstractNumId w:val="14"/>
  </w:num>
  <w:num w:numId="10">
    <w:abstractNumId w:val="3"/>
  </w:num>
  <w:num w:numId="11">
    <w:abstractNumId w:val="1"/>
  </w:num>
  <w:num w:numId="12">
    <w:abstractNumId w:val="16"/>
  </w:num>
  <w:num w:numId="13">
    <w:abstractNumId w:val="5"/>
  </w:num>
  <w:num w:numId="14">
    <w:abstractNumId w:val="10"/>
  </w:num>
  <w:num w:numId="15">
    <w:abstractNumId w:val="7"/>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B09FF"/>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006C6"/>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9F75FF"/>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aliases w:val="Citas"/>
    <w:basedOn w:val="Normal"/>
    <w:uiPriority w:val="34"/>
    <w:qFormat/>
    <w:rsid w:val="002E526E"/>
    <w:pPr>
      <w:ind w:left="720"/>
      <w:contextualSpacing/>
    </w:pPr>
  </w:style>
  <w:style w:type="paragraph" w:customStyle="1" w:styleId="BodyText21">
    <w:name w:val="Body Text 21"/>
    <w:basedOn w:val="Normal"/>
    <w:link w:val="BodyText21Car"/>
    <w:rsid w:val="009F75FF"/>
    <w:pPr>
      <w:autoSpaceDE w:val="0"/>
      <w:autoSpaceDN w:val="0"/>
      <w:adjustRightInd w:val="0"/>
      <w:spacing w:after="0" w:line="360" w:lineRule="auto"/>
      <w:jc w:val="both"/>
    </w:pPr>
    <w:rPr>
      <w:rFonts w:ascii="Antique Olive" w:eastAsia="Times New Roman" w:hAnsi="Antique Olive" w:cs="Times New Roman"/>
      <w:sz w:val="24"/>
      <w:szCs w:val="20"/>
      <w:lang w:val="es-ES_tradnl" w:eastAsia="es-ES"/>
    </w:rPr>
  </w:style>
  <w:style w:type="character" w:customStyle="1" w:styleId="BodyText21Car">
    <w:name w:val="Body Text 21 Car"/>
    <w:link w:val="BodyText21"/>
    <w:locked/>
    <w:rsid w:val="009F75FF"/>
    <w:rPr>
      <w:rFonts w:ascii="Antique Olive" w:eastAsia="Times New Roman" w:hAnsi="Antique Olive"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1452</Words>
  <Characters>7986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Juanita Del Pilar Matiz Cifuentes</cp:lastModifiedBy>
  <cp:revision>2</cp:revision>
  <dcterms:created xsi:type="dcterms:W3CDTF">2021-09-04T21:22:00Z</dcterms:created>
  <dcterms:modified xsi:type="dcterms:W3CDTF">2021-09-04T21:22:00Z</dcterms:modified>
</cp:coreProperties>
</file>