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0560" w:rsidRPr="00BC0560" w:rsidRDefault="00BC0560" w:rsidP="00BC0560">
      <w:pPr>
        <w:spacing w:after="0" w:line="240" w:lineRule="auto"/>
        <w:jc w:val="center"/>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ESCUELA JUDICIAL RODRIGO LARA BONILLA</w:t>
      </w:r>
    </w:p>
    <w:p w:rsidR="00BC0560" w:rsidRPr="00BC0560" w:rsidRDefault="00BC0560" w:rsidP="00BC0560">
      <w:pPr>
        <w:spacing w:after="0" w:line="240" w:lineRule="auto"/>
        <w:jc w:val="center"/>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LISTA DE CHEQUEO – ADOPCIÓN DE MEDIDAS PARA DICTAR SENTENCIA ANTICIPADA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pBdr>
          <w:top w:val="dashed" w:sz="4" w:space="1" w:color="000000"/>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DISPOSICIONES A APLICAR </w:t>
      </w:r>
    </w:p>
    <w:p w:rsidR="00BC0560" w:rsidRPr="00BC0560" w:rsidRDefault="00BC0560" w:rsidP="00BC0560">
      <w:pPr>
        <w:pBdr>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t> </w:t>
      </w:r>
    </w:p>
    <w:p w:rsidR="00BC0560" w:rsidRPr="00BC0560" w:rsidRDefault="00BC0560" w:rsidP="00BC0560">
      <w:pPr>
        <w:pBdr>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Artículo 38 L. 2080 de 2021 (Parágrafo 2° del artículo 175 del CPACA)</w:t>
      </w:r>
    </w:p>
    <w:p w:rsidR="00BC0560" w:rsidRPr="00BC0560" w:rsidRDefault="00BC0560" w:rsidP="00BC0560">
      <w:pPr>
        <w:pBdr>
          <w:left w:val="dashed" w:sz="4" w:space="4" w:color="000000"/>
          <w:bottom w:val="dashed" w:sz="4" w:space="1"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Artículo 42 L. 2080 de 2021 (adiciona 182A al CPACA)</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9132E2" w:rsidRPr="007E6EE0" w:rsidRDefault="009132E2" w:rsidP="009132E2">
      <w:pPr>
        <w:pStyle w:val="Sinespaciado"/>
        <w:ind w:left="-1134"/>
        <w:rPr>
          <w:rFonts w:ascii="Tahoma" w:hAnsi="Tahoma" w:cs="Tahoma"/>
          <w:sz w:val="24"/>
          <w:szCs w:val="24"/>
          <w:lang w:val="es-MX"/>
        </w:rPr>
      </w:pPr>
      <w:r w:rsidRPr="007E6EE0">
        <w:rPr>
          <w:rFonts w:ascii="Tahoma" w:eastAsia="Calibri" w:hAnsi="Tahoma" w:cs="Tahoma"/>
          <w:sz w:val="24"/>
          <w:szCs w:val="24"/>
          <w:lang w:val="es-MX"/>
        </w:rPr>
        <w:t>Elaborada por:</w:t>
      </w:r>
      <w:r>
        <w:rPr>
          <w:rFonts w:ascii="Tahoma" w:eastAsia="Calibri" w:hAnsi="Tahoma" w:cs="Tahoma"/>
          <w:sz w:val="24"/>
          <w:szCs w:val="24"/>
          <w:lang w:val="es-MX"/>
        </w:rPr>
        <w:t xml:space="preserve"> </w:t>
      </w:r>
      <w:proofErr w:type="spellStart"/>
      <w:r w:rsidR="00047E44">
        <w:rPr>
          <w:rFonts w:ascii="Tahoma" w:eastAsia="Calibri" w:hAnsi="Tahoma" w:cs="Tahoma"/>
          <w:sz w:val="24"/>
          <w:szCs w:val="24"/>
          <w:lang w:val="es-MX"/>
        </w:rPr>
        <w:t>Jaider</w:t>
      </w:r>
      <w:proofErr w:type="spellEnd"/>
      <w:r w:rsidR="00047E44">
        <w:rPr>
          <w:rFonts w:ascii="Tahoma" w:eastAsia="Calibri" w:hAnsi="Tahoma" w:cs="Tahoma"/>
          <w:sz w:val="24"/>
          <w:szCs w:val="24"/>
          <w:lang w:val="es-MX"/>
        </w:rPr>
        <w:t xml:space="preserve"> Ruiz </w:t>
      </w:r>
      <w:proofErr w:type="spellStart"/>
      <w:r w:rsidR="00047E44">
        <w:rPr>
          <w:rFonts w:ascii="Tahoma" w:eastAsia="Calibri" w:hAnsi="Tahoma" w:cs="Tahoma"/>
          <w:sz w:val="24"/>
          <w:szCs w:val="24"/>
          <w:lang w:val="es-MX"/>
        </w:rPr>
        <w:t>Benitez</w:t>
      </w:r>
      <w:proofErr w:type="spellEnd"/>
      <w:r w:rsidR="00047E44">
        <w:rPr>
          <w:rFonts w:ascii="Tahoma" w:eastAsia="Calibri" w:hAnsi="Tahoma" w:cs="Tahoma"/>
          <w:sz w:val="24"/>
          <w:szCs w:val="24"/>
          <w:lang w:val="es-MX"/>
        </w:rPr>
        <w:t xml:space="preserve"> </w:t>
      </w:r>
    </w:p>
    <w:p w:rsidR="009132E2" w:rsidRPr="007E6EE0" w:rsidRDefault="009132E2" w:rsidP="009132E2">
      <w:pPr>
        <w:pStyle w:val="Sinespaciado"/>
        <w:ind w:left="-1134"/>
        <w:rPr>
          <w:rFonts w:ascii="Tahoma" w:hAnsi="Tahoma" w:cs="Tahoma"/>
          <w:sz w:val="24"/>
          <w:szCs w:val="24"/>
          <w:lang w:val="es-MX"/>
        </w:rPr>
      </w:pPr>
      <w:r w:rsidRPr="007E6EE0">
        <w:rPr>
          <w:rFonts w:ascii="Tahoma" w:hAnsi="Tahoma" w:cs="Tahoma"/>
          <w:sz w:val="24"/>
          <w:szCs w:val="24"/>
          <w:lang w:val="es-MX"/>
        </w:rPr>
        <w:t xml:space="preserve">Fecha:   </w:t>
      </w:r>
      <w:r w:rsidR="00047E44">
        <w:rPr>
          <w:rFonts w:ascii="Tahoma" w:hAnsi="Tahoma" w:cs="Tahoma"/>
          <w:sz w:val="24"/>
          <w:szCs w:val="24"/>
          <w:lang w:val="es-MX"/>
        </w:rPr>
        <w:t>03/09/2021</w:t>
      </w:r>
    </w:p>
    <w:p w:rsidR="009132E2" w:rsidRPr="007E6EE0" w:rsidRDefault="009132E2" w:rsidP="009132E2">
      <w:pPr>
        <w:pStyle w:val="Sinespaciado"/>
        <w:ind w:left="-1134"/>
        <w:rPr>
          <w:rFonts w:ascii="Tahoma" w:hAnsi="Tahoma" w:cs="Tahoma"/>
          <w:sz w:val="24"/>
          <w:szCs w:val="24"/>
          <w:lang w:val="es-MX"/>
        </w:rPr>
      </w:pPr>
      <w:r w:rsidRPr="007E6EE0">
        <w:rPr>
          <w:rFonts w:ascii="Tahoma" w:hAnsi="Tahoma" w:cs="Tahoma"/>
          <w:sz w:val="24"/>
          <w:szCs w:val="24"/>
          <w:lang w:val="es-MX"/>
        </w:rPr>
        <w:t xml:space="preserve">Medio de control: </w:t>
      </w:r>
      <w:r w:rsidR="00047E44">
        <w:rPr>
          <w:rFonts w:ascii="Tahoma" w:hAnsi="Tahoma" w:cs="Tahoma"/>
          <w:sz w:val="24"/>
          <w:szCs w:val="24"/>
          <w:lang w:val="es-MX"/>
        </w:rPr>
        <w:t>Nulidad y Restablecimiento del Derecho</w:t>
      </w:r>
    </w:p>
    <w:p w:rsidR="009132E2" w:rsidRPr="007E6EE0" w:rsidRDefault="009132E2" w:rsidP="009132E2">
      <w:pPr>
        <w:pStyle w:val="Sinespaciado"/>
        <w:ind w:left="-1134"/>
        <w:rPr>
          <w:rFonts w:ascii="Tahoma" w:hAnsi="Tahoma" w:cs="Tahoma"/>
          <w:sz w:val="24"/>
          <w:szCs w:val="24"/>
          <w:lang w:val="es-MX"/>
        </w:rPr>
      </w:pPr>
      <w:r w:rsidRPr="007E6EE0">
        <w:rPr>
          <w:rFonts w:ascii="Tahoma" w:hAnsi="Tahoma" w:cs="Tahoma"/>
          <w:sz w:val="24"/>
          <w:szCs w:val="24"/>
          <w:lang w:val="es-MX"/>
        </w:rPr>
        <w:t>Demandante:</w:t>
      </w:r>
      <w:r w:rsidR="00047E44">
        <w:rPr>
          <w:rFonts w:ascii="Tahoma" w:hAnsi="Tahoma" w:cs="Tahoma"/>
          <w:sz w:val="24"/>
          <w:szCs w:val="24"/>
          <w:lang w:val="es-MX"/>
        </w:rPr>
        <w:t xml:space="preserve"> Yolanda Santiago de Montero </w:t>
      </w:r>
    </w:p>
    <w:p w:rsidR="009132E2" w:rsidRDefault="009132E2" w:rsidP="009132E2">
      <w:pPr>
        <w:pStyle w:val="Sinespaciado"/>
        <w:ind w:left="-1134"/>
        <w:rPr>
          <w:rFonts w:ascii="Tahoma" w:hAnsi="Tahoma" w:cs="Tahoma"/>
          <w:sz w:val="24"/>
          <w:szCs w:val="24"/>
          <w:lang w:val="es-MX"/>
        </w:rPr>
      </w:pPr>
      <w:r w:rsidRPr="007E6EE0">
        <w:rPr>
          <w:rFonts w:ascii="Tahoma" w:hAnsi="Tahoma" w:cs="Tahoma"/>
          <w:sz w:val="24"/>
          <w:szCs w:val="24"/>
          <w:lang w:val="es-MX"/>
        </w:rPr>
        <w:t>Demandado:</w:t>
      </w:r>
      <w:r>
        <w:rPr>
          <w:rFonts w:ascii="Tahoma" w:hAnsi="Tahoma" w:cs="Tahoma"/>
          <w:sz w:val="24"/>
          <w:szCs w:val="24"/>
          <w:lang w:val="es-MX"/>
        </w:rPr>
        <w:t xml:space="preserve"> </w:t>
      </w:r>
      <w:r w:rsidR="00047E44">
        <w:rPr>
          <w:rFonts w:ascii="Tahoma" w:hAnsi="Tahoma" w:cs="Tahoma"/>
          <w:sz w:val="24"/>
          <w:szCs w:val="24"/>
          <w:lang w:val="es-MX"/>
        </w:rPr>
        <w:t xml:space="preserve">Ministerio de Defensa – Ejercito Nacional </w:t>
      </w:r>
    </w:p>
    <w:p w:rsidR="009132E2" w:rsidRPr="007E6EE0" w:rsidRDefault="00A423D6" w:rsidP="009132E2">
      <w:pPr>
        <w:pStyle w:val="Sinespaciado"/>
        <w:ind w:left="-1134"/>
        <w:rPr>
          <w:rFonts w:ascii="Tahoma" w:hAnsi="Tahoma" w:cs="Tahoma"/>
          <w:sz w:val="24"/>
          <w:szCs w:val="24"/>
          <w:lang w:val="es-MX"/>
        </w:rPr>
      </w:pPr>
      <w:r>
        <w:rPr>
          <w:rFonts w:ascii="Tahoma" w:hAnsi="Tahoma" w:cs="Tahoma"/>
          <w:sz w:val="24"/>
          <w:szCs w:val="24"/>
          <w:lang w:val="es-MX"/>
        </w:rPr>
        <w:t>Radicado: 130013133000</w:t>
      </w:r>
      <w:r w:rsidR="00047E44">
        <w:rPr>
          <w:rFonts w:ascii="Tahoma" w:hAnsi="Tahoma" w:cs="Tahoma"/>
          <w:sz w:val="24"/>
          <w:szCs w:val="24"/>
          <w:lang w:val="es-MX"/>
        </w:rPr>
        <w:t>2020000400</w:t>
      </w:r>
    </w:p>
    <w:p w:rsidR="00BC0560" w:rsidRPr="00BC0560" w:rsidRDefault="00BC0560" w:rsidP="00BC0560">
      <w:pPr>
        <w:spacing w:after="240" w:line="240" w:lineRule="auto"/>
        <w:rPr>
          <w:rFonts w:ascii="Times New Roman" w:eastAsia="Times New Roman" w:hAnsi="Times New Roman" w:cs="Times New Roman"/>
          <w:sz w:val="24"/>
          <w:szCs w:val="24"/>
          <w:lang w:eastAsia="es-CO"/>
        </w:rPr>
      </w:pPr>
    </w:p>
    <w:tbl>
      <w:tblPr>
        <w:tblW w:w="0" w:type="auto"/>
        <w:tblCellMar>
          <w:top w:w="15" w:type="dxa"/>
          <w:left w:w="15" w:type="dxa"/>
          <w:bottom w:w="15" w:type="dxa"/>
          <w:right w:w="15" w:type="dxa"/>
        </w:tblCellMar>
        <w:tblLook w:val="04A0" w:firstRow="1" w:lastRow="0" w:firstColumn="1" w:lastColumn="0" w:noHBand="0" w:noVBand="1"/>
      </w:tblPr>
      <w:tblGrid>
        <w:gridCol w:w="8828"/>
      </w:tblGrid>
      <w:tr w:rsidR="00BC0560" w:rsidRPr="00BC0560"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0560" w:rsidRPr="00BC0560" w:rsidRDefault="00BC0560" w:rsidP="00BC0560">
            <w:pPr>
              <w:spacing w:after="0" w:line="240" w:lineRule="auto"/>
              <w:ind w:left="27"/>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VERIFICACIÓN DE REGLAS PROCESALES PARA EMISIÓN DE SENTENCIA ANTICIPADA</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Verifique que el término de traslado de la demanda se encuentra vencido y que no hay excepciones previas que resolver o no se advierta el incumplimiento de requisitos de procedibilidad.</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(Arts. 172, 175, 199 del CPACA)</w:t>
            </w:r>
          </w:p>
          <w:p w:rsidR="00047E44" w:rsidRDefault="00047E44" w:rsidP="00BC0560">
            <w:pPr>
              <w:spacing w:after="0" w:line="240" w:lineRule="auto"/>
              <w:jc w:val="both"/>
              <w:rPr>
                <w:rFonts w:ascii="Times New Roman" w:eastAsia="Times New Roman" w:hAnsi="Times New Roman" w:cs="Times New Roman"/>
                <w:sz w:val="24"/>
                <w:szCs w:val="24"/>
                <w:lang w:eastAsia="es-CO"/>
              </w:rPr>
            </w:pPr>
          </w:p>
          <w:p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sz w:val="18"/>
                <w:szCs w:val="18"/>
                <w:lang w:eastAsia="es-CO"/>
              </w:rPr>
              <w:t>Nota:</w:t>
            </w:r>
            <w:r w:rsidRPr="00BC0560">
              <w:rPr>
                <w:rFonts w:ascii="Arial" w:eastAsia="Times New Roman" w:hAnsi="Arial" w:cs="Arial"/>
                <w:i/>
                <w:iCs/>
                <w:color w:val="000000"/>
                <w:lang w:eastAsia="es-CO"/>
              </w:rPr>
              <w:t xml:space="preserve"> </w:t>
            </w:r>
            <w:r w:rsidRPr="00BC0560">
              <w:rPr>
                <w:rFonts w:ascii="Arial" w:eastAsia="Times New Roman" w:hAnsi="Arial" w:cs="Arial"/>
                <w:i/>
                <w:iCs/>
                <w:color w:val="000000"/>
                <w:sz w:val="18"/>
                <w:szCs w:val="18"/>
                <w:lang w:eastAsia="es-CO"/>
              </w:rPr>
              <w:t>para posibilitar que se pueda proferir sentencia anticipada, es necesario agotar de manera previa varios trámites dispuestos en el artículo 182A, esto es, las medidas que se señalan a continuación</w:t>
            </w:r>
            <w:r w:rsidRPr="00BC0560">
              <w:rPr>
                <w:rFonts w:ascii="Arial" w:eastAsia="Times New Roman" w:hAnsi="Arial" w:cs="Arial"/>
                <w:i/>
                <w:iCs/>
                <w:color w:val="000000"/>
                <w:lang w:eastAsia="es-CO"/>
              </w:rPr>
              <w:t>. </w:t>
            </w:r>
          </w:p>
        </w:tc>
      </w:tr>
      <w:tr w:rsidR="00BC0560" w:rsidRPr="00BC0560"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0560" w:rsidRPr="00BC0560" w:rsidRDefault="00BC0560" w:rsidP="00BC0560">
            <w:pPr>
              <w:numPr>
                <w:ilvl w:val="0"/>
                <w:numId w:val="1"/>
              </w:numPr>
              <w:spacing w:after="0" w:line="240" w:lineRule="auto"/>
              <w:ind w:left="387"/>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t>SENTENCIA ANTICIPADA ANTES DE LA AUDIENCIA INICIAL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 (Numeral 1° del artículo 182A del CPACA)</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ind w:left="708"/>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a</w:t>
            </w:r>
            <w:r w:rsidRPr="00BC0560">
              <w:rPr>
                <w:rFonts w:ascii="Arial" w:eastAsia="Times New Roman" w:hAnsi="Arial" w:cs="Arial"/>
                <w:i/>
                <w:iCs/>
                <w:color w:val="000000"/>
                <w:lang w:eastAsia="es-CO"/>
              </w:rPr>
              <w:t>) Cuando se trate de asuntos de puro derecho;</w:t>
            </w:r>
            <w:r w:rsidR="00D454B2">
              <w:rPr>
                <w:rFonts w:ascii="Arial" w:eastAsia="Times New Roman" w:hAnsi="Arial" w:cs="Arial"/>
                <w:i/>
                <w:iCs/>
                <w:color w:val="000000"/>
                <w:lang w:eastAsia="es-CO"/>
              </w:rPr>
              <w:t xml:space="preserve"> </w:t>
            </w:r>
            <w:r w:rsidR="00047E44">
              <w:rPr>
                <w:rFonts w:ascii="Arial" w:eastAsia="Times New Roman" w:hAnsi="Arial" w:cs="Arial"/>
                <w:i/>
                <w:iCs/>
                <w:color w:val="000000"/>
                <w:lang w:eastAsia="es-CO"/>
              </w:rPr>
              <w:t>_X</w:t>
            </w:r>
            <w:r>
              <w:rPr>
                <w:rFonts w:ascii="Arial" w:eastAsia="Times New Roman" w:hAnsi="Arial" w:cs="Arial"/>
                <w:i/>
                <w:iCs/>
                <w:color w:val="000000"/>
                <w:lang w:eastAsia="es-CO"/>
              </w:rPr>
              <w:t>__</w:t>
            </w:r>
            <w:r w:rsidRPr="00BC0560">
              <w:rPr>
                <w:rFonts w:ascii="Arial" w:eastAsia="Times New Roman" w:hAnsi="Arial" w:cs="Arial"/>
                <w:i/>
                <w:iCs/>
                <w:color w:val="000000"/>
                <w:lang w:eastAsia="es-CO"/>
              </w:rPr>
              <w:t xml:space="preserve">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ind w:left="708"/>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b)</w:t>
            </w:r>
            <w:r w:rsidRPr="00BC0560">
              <w:rPr>
                <w:rFonts w:ascii="Arial" w:eastAsia="Times New Roman" w:hAnsi="Arial" w:cs="Arial"/>
                <w:i/>
                <w:iCs/>
                <w:color w:val="000000"/>
                <w:lang w:eastAsia="es-CO"/>
              </w:rPr>
              <w:t xml:space="preserve"> Cuando no haya que practicar pruebas; </w:t>
            </w:r>
            <w:r>
              <w:rPr>
                <w:rFonts w:ascii="Arial" w:eastAsia="Times New Roman" w:hAnsi="Arial" w:cs="Arial"/>
                <w:i/>
                <w:iCs/>
                <w:color w:val="000000"/>
                <w:lang w:eastAsia="es-CO"/>
              </w:rPr>
              <w:t>__</w:t>
            </w:r>
            <w:r w:rsidR="00047E44">
              <w:rPr>
                <w:rFonts w:ascii="Arial" w:eastAsia="Times New Roman" w:hAnsi="Arial" w:cs="Arial"/>
                <w:i/>
                <w:iCs/>
                <w:color w:val="000000"/>
                <w:lang w:eastAsia="es-CO"/>
              </w:rPr>
              <w:t>X</w:t>
            </w:r>
            <w:r>
              <w:rPr>
                <w:rFonts w:ascii="Arial" w:eastAsia="Times New Roman" w:hAnsi="Arial" w:cs="Arial"/>
                <w:i/>
                <w:iCs/>
                <w:color w:val="000000"/>
                <w:lang w:eastAsia="es-CO"/>
              </w:rPr>
              <w:t>___</w:t>
            </w:r>
            <w:r w:rsidRPr="00BC0560">
              <w:rPr>
                <w:rFonts w:ascii="Arial" w:eastAsia="Times New Roman" w:hAnsi="Arial" w:cs="Arial"/>
                <w:i/>
                <w:iCs/>
                <w:color w:val="000000"/>
                <w:lang w:eastAsia="es-CO"/>
              </w:rPr>
              <w:t>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ind w:left="708"/>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c)</w:t>
            </w:r>
            <w:r w:rsidRPr="00BC0560">
              <w:rPr>
                <w:rFonts w:ascii="Arial" w:eastAsia="Times New Roman" w:hAnsi="Arial" w:cs="Arial"/>
                <w:i/>
                <w:iCs/>
                <w:color w:val="000000"/>
                <w:lang w:eastAsia="es-CO"/>
              </w:rPr>
              <w:t xml:space="preserve"> Cuando solo se solicite tener como pruebas las documentales aportadas con la demanda y la contestación, y sobre ellas no se hubiese formulado tacha o </w:t>
            </w:r>
            <w:proofErr w:type="gramStart"/>
            <w:r w:rsidRPr="00BC0560">
              <w:rPr>
                <w:rFonts w:ascii="Arial" w:eastAsia="Times New Roman" w:hAnsi="Arial" w:cs="Arial"/>
                <w:i/>
                <w:iCs/>
                <w:color w:val="000000"/>
                <w:lang w:eastAsia="es-CO"/>
              </w:rPr>
              <w:t>desconocimiento;  </w:t>
            </w:r>
            <w:r>
              <w:rPr>
                <w:rFonts w:ascii="Arial" w:eastAsia="Times New Roman" w:hAnsi="Arial" w:cs="Arial"/>
                <w:i/>
                <w:iCs/>
                <w:color w:val="000000"/>
                <w:lang w:eastAsia="es-CO"/>
              </w:rPr>
              <w:t>_</w:t>
            </w:r>
            <w:proofErr w:type="gramEnd"/>
            <w:r>
              <w:rPr>
                <w:rFonts w:ascii="Arial" w:eastAsia="Times New Roman" w:hAnsi="Arial" w:cs="Arial"/>
                <w:i/>
                <w:iCs/>
                <w:color w:val="000000"/>
                <w:lang w:eastAsia="es-CO"/>
              </w:rPr>
              <w:t>______</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ind w:left="720"/>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d)</w:t>
            </w:r>
            <w:r w:rsidRPr="00BC0560">
              <w:rPr>
                <w:rFonts w:ascii="Arial" w:eastAsia="Times New Roman" w:hAnsi="Arial" w:cs="Arial"/>
                <w:i/>
                <w:iCs/>
                <w:color w:val="000000"/>
                <w:lang w:eastAsia="es-CO"/>
              </w:rPr>
              <w:t xml:space="preserve"> Cuando las pruebas solicitadas por las partes sean impertinentes, inconducentes o inútiles.</w:t>
            </w:r>
            <w:r>
              <w:rPr>
                <w:rFonts w:ascii="Arial" w:eastAsia="Times New Roman" w:hAnsi="Arial" w:cs="Arial"/>
                <w:i/>
                <w:iCs/>
                <w:color w:val="000000"/>
                <w:lang w:eastAsia="es-CO"/>
              </w:rPr>
              <w:t xml:space="preserve"> ______</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Cuando se verifique que procede la sentencia anticipada por alguno de los casos antes descritos, el juez o magistrado ponente debe: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2"/>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Proferir auto donde debe pronunciarse sobre las pruebas cuando a ello hubiere lugar, aplicando el artículo 173 del CGP. </w:t>
            </w:r>
          </w:p>
          <w:p w:rsidR="00BC0560" w:rsidRPr="00BC0560" w:rsidRDefault="00BC0560" w:rsidP="00BC0560">
            <w:pPr>
              <w:numPr>
                <w:ilvl w:val="0"/>
                <w:numId w:val="2"/>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lastRenderedPageBreak/>
              <w:t>En la misma providencia debe fijar el litigio u objeto de la controversia. </w:t>
            </w:r>
          </w:p>
          <w:p w:rsidR="00BC0560" w:rsidRDefault="00BC0560" w:rsidP="00BC0560">
            <w:pPr>
              <w:spacing w:after="0" w:line="240" w:lineRule="auto"/>
              <w:rPr>
                <w:rFonts w:ascii="Times New Roman" w:eastAsia="Times New Roman" w:hAnsi="Times New Roman" w:cs="Times New Roman"/>
                <w:sz w:val="24"/>
                <w:szCs w:val="24"/>
                <w:lang w:eastAsia="es-CO"/>
              </w:rPr>
            </w:pPr>
          </w:p>
          <w:p w:rsidR="00D454B2" w:rsidRPr="00BC0560" w:rsidRDefault="00D454B2"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firme las decisiones antes señaladas, se debe: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3"/>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Correr traslado para alegar de conclusión en la forma prevista en el inciso fin</w:t>
            </w:r>
            <w:r w:rsidR="00047E44">
              <w:rPr>
                <w:rFonts w:ascii="Arial" w:eastAsia="Times New Roman" w:hAnsi="Arial" w:cs="Arial"/>
                <w:color w:val="000000"/>
                <w:lang w:eastAsia="es-CO"/>
              </w:rPr>
              <w:t xml:space="preserve">al del artículo 181 del </w:t>
            </w:r>
            <w:proofErr w:type="gramStart"/>
            <w:r w:rsidR="00047E44">
              <w:rPr>
                <w:rFonts w:ascii="Arial" w:eastAsia="Times New Roman" w:hAnsi="Arial" w:cs="Arial"/>
                <w:color w:val="000000"/>
                <w:lang w:eastAsia="es-CO"/>
              </w:rPr>
              <w:t>CPACA,  _</w:t>
            </w:r>
            <w:proofErr w:type="gramEnd"/>
            <w:r w:rsidR="00047E44">
              <w:rPr>
                <w:rFonts w:ascii="Arial" w:eastAsia="Times New Roman" w:hAnsi="Arial" w:cs="Arial"/>
                <w:color w:val="000000"/>
                <w:lang w:eastAsia="es-CO"/>
              </w:rPr>
              <w:t>X__</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4"/>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En la providencia que así lo ordene, se debe indicar la razón, o razones, por la cual se dictará sentencia anticipada, la cual se expedirá por escrito posteriormente.  </w:t>
            </w:r>
            <w:r w:rsidR="00D454B2">
              <w:rPr>
                <w:rFonts w:ascii="Arial" w:eastAsia="Times New Roman" w:hAnsi="Arial" w:cs="Arial"/>
                <w:color w:val="000000"/>
                <w:lang w:eastAsia="es-CO"/>
              </w:rPr>
              <w:t>_</w:t>
            </w:r>
            <w:r w:rsidR="008A4D7C">
              <w:rPr>
                <w:rFonts w:ascii="Arial" w:eastAsia="Times New Roman" w:hAnsi="Arial" w:cs="Arial"/>
                <w:color w:val="000000"/>
                <w:lang w:eastAsia="es-CO"/>
              </w:rPr>
              <w:t>X</w:t>
            </w:r>
            <w:r w:rsidR="00D454B2">
              <w:rPr>
                <w:rFonts w:ascii="Arial" w:eastAsia="Times New Roman" w:hAnsi="Arial" w:cs="Arial"/>
                <w:color w:val="000000"/>
                <w:lang w:eastAsia="es-CO"/>
              </w:rPr>
              <w:t>_</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5"/>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sz w:val="18"/>
                <w:szCs w:val="18"/>
                <w:lang w:eastAsia="es-CO"/>
              </w:rPr>
              <w:t>Nota: </w:t>
            </w:r>
          </w:p>
          <w:p w:rsidR="00BC0560" w:rsidRDefault="00BC0560" w:rsidP="00BC0560">
            <w:pPr>
              <w:spacing w:after="0" w:line="240" w:lineRule="auto"/>
              <w:jc w:val="both"/>
              <w:rPr>
                <w:rFonts w:ascii="Arial" w:eastAsia="Times New Roman" w:hAnsi="Arial" w:cs="Arial"/>
                <w:i/>
                <w:iCs/>
                <w:color w:val="000000"/>
                <w:sz w:val="18"/>
                <w:szCs w:val="18"/>
                <w:lang w:eastAsia="es-CO"/>
              </w:rPr>
            </w:pPr>
            <w:r w:rsidRPr="00BC0560">
              <w:rPr>
                <w:rFonts w:ascii="Arial" w:eastAsia="Times New Roman" w:hAnsi="Arial" w:cs="Arial"/>
                <w:i/>
                <w:iCs/>
                <w:color w:val="000000"/>
                <w:sz w:val="18"/>
                <w:szCs w:val="18"/>
                <w:lang w:eastAsia="es-CO"/>
              </w:rPr>
              <w:t xml:space="preserve">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Consejera Ponente: Sandra </w:t>
            </w:r>
            <w:proofErr w:type="spellStart"/>
            <w:r w:rsidRPr="00BC0560">
              <w:rPr>
                <w:rFonts w:ascii="Arial" w:eastAsia="Times New Roman" w:hAnsi="Arial" w:cs="Arial"/>
                <w:i/>
                <w:iCs/>
                <w:color w:val="000000"/>
                <w:sz w:val="18"/>
                <w:szCs w:val="18"/>
                <w:lang w:eastAsia="es-CO"/>
              </w:rPr>
              <w:t>Lisset</w:t>
            </w:r>
            <w:proofErr w:type="spellEnd"/>
            <w:r w:rsidRPr="00BC0560">
              <w:rPr>
                <w:rFonts w:ascii="Arial" w:eastAsia="Times New Roman" w:hAnsi="Arial" w:cs="Arial"/>
                <w:i/>
                <w:iCs/>
                <w:color w:val="000000"/>
                <w:sz w:val="18"/>
                <w:szCs w:val="18"/>
                <w:lang w:eastAsia="es-CO"/>
              </w:rPr>
              <w:t xml:space="preserve"> Ibarra Vélez. veintiuno (21) de junio de </w:t>
            </w:r>
            <w:proofErr w:type="gramStart"/>
            <w:r w:rsidRPr="00BC0560">
              <w:rPr>
                <w:rFonts w:ascii="Arial" w:eastAsia="Times New Roman" w:hAnsi="Arial" w:cs="Arial"/>
                <w:i/>
                <w:iCs/>
                <w:color w:val="000000"/>
                <w:sz w:val="18"/>
                <w:szCs w:val="18"/>
                <w:lang w:eastAsia="es-CO"/>
              </w:rPr>
              <w:t>dos mil veintiuno</w:t>
            </w:r>
            <w:proofErr w:type="gramEnd"/>
            <w:r w:rsidRPr="00BC0560">
              <w:rPr>
                <w:rFonts w:ascii="Arial" w:eastAsia="Times New Roman" w:hAnsi="Arial" w:cs="Arial"/>
                <w:i/>
                <w:iCs/>
                <w:color w:val="000000"/>
                <w:sz w:val="18"/>
                <w:szCs w:val="18"/>
                <w:lang w:eastAsia="es-CO"/>
              </w:rPr>
              <w:t xml:space="preserve"> (2021). Referencia del expediente: 11001032500020180079100 (3026-2018). </w:t>
            </w:r>
          </w:p>
          <w:p w:rsidR="008A4D7C" w:rsidRDefault="008A4D7C" w:rsidP="00BC0560">
            <w:pPr>
              <w:spacing w:after="0" w:line="240" w:lineRule="auto"/>
              <w:jc w:val="both"/>
              <w:rPr>
                <w:rFonts w:ascii="Arial" w:eastAsia="Times New Roman" w:hAnsi="Arial" w:cs="Arial"/>
                <w:i/>
                <w:iCs/>
                <w:color w:val="000000"/>
                <w:sz w:val="18"/>
                <w:szCs w:val="18"/>
                <w:lang w:eastAsia="es-CO"/>
              </w:rPr>
            </w:pPr>
            <w:bookmarkStart w:id="0" w:name="_GoBack"/>
            <w:bookmarkEnd w:id="0"/>
          </w:p>
          <w:p w:rsidR="008A4D7C" w:rsidRPr="00A423D6" w:rsidRDefault="008A4D7C" w:rsidP="00BC0560">
            <w:pPr>
              <w:spacing w:after="0" w:line="240" w:lineRule="auto"/>
              <w:jc w:val="both"/>
              <w:rPr>
                <w:rFonts w:ascii="Arial" w:eastAsia="Times New Roman" w:hAnsi="Arial" w:cs="Arial"/>
                <w:iCs/>
                <w:color w:val="000000"/>
                <w:sz w:val="18"/>
                <w:szCs w:val="18"/>
                <w:lang w:eastAsia="es-CO"/>
              </w:rPr>
            </w:pPr>
          </w:p>
          <w:p w:rsidR="00BC0560" w:rsidRPr="00BC0560" w:rsidRDefault="00BC0560" w:rsidP="00047E44">
            <w:pPr>
              <w:spacing w:after="0" w:line="240" w:lineRule="auto"/>
              <w:jc w:val="both"/>
              <w:rPr>
                <w:rFonts w:ascii="Times New Roman" w:eastAsia="Times New Roman" w:hAnsi="Times New Roman" w:cs="Times New Roman"/>
                <w:sz w:val="24"/>
                <w:szCs w:val="24"/>
                <w:lang w:eastAsia="es-CO"/>
              </w:rPr>
            </w:pPr>
          </w:p>
        </w:tc>
      </w:tr>
      <w:tr w:rsidR="00BC0560" w:rsidRPr="00BC0560"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0560" w:rsidRPr="00BC0560" w:rsidRDefault="00BC0560" w:rsidP="00BC0560">
            <w:pPr>
              <w:numPr>
                <w:ilvl w:val="0"/>
                <w:numId w:val="6"/>
              </w:numPr>
              <w:spacing w:after="0" w:line="240" w:lineRule="auto"/>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lastRenderedPageBreak/>
              <w:t>SENTENCIA ANTICIPADA EN CUALQUIER ESTADO DEL PROCESO, CUANDO LAS PARTES O SUS APODERADOS DE COMÚN ACUERDO LO SOLICITEN, SEA POR INICIATIVA PROPIA O POR SUGERENCIA DEL JUEZ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2° del artículo 182A del CPACA)</w:t>
            </w:r>
          </w:p>
          <w:p w:rsidR="00BC0560" w:rsidRPr="00BC0560" w:rsidRDefault="00BC0560" w:rsidP="00BC0560">
            <w:pPr>
              <w:spacing w:after="24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Analizar las siguientes situaciones y proferir las decisiones que corresponde así: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7"/>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Si en el proceso intervienen litisconsortes necesarios, la petición deberá realizarse conjuntamente con estos;</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8"/>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Si la solicitud se presenta en el transcurso de una audiencia, se dará traslado para alegar dentro de ella y, surtido el traslado para alegar, se proferirá sentencia oral o escrita;</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9"/>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lastRenderedPageBreak/>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10"/>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Con la aceptación de esta petición por parte del juzgador, se entenderán desistidos los recursos que hubieren formulado los peticionarios contra decisiones interlocutorias que estén pendientes de tramitar o resolver; y</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11"/>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El juzgador rechazará la solicitud cuando advierta fraude o colusión</w:t>
            </w:r>
          </w:p>
          <w:p w:rsidR="00BC0560" w:rsidRPr="00BC0560" w:rsidRDefault="00BC0560" w:rsidP="00BC0560">
            <w:pPr>
              <w:spacing w:after="24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tc>
      </w:tr>
      <w:tr w:rsidR="00BC0560" w:rsidRPr="00BC0560"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0560" w:rsidRPr="00BC0560" w:rsidRDefault="00BC0560" w:rsidP="00BC0560">
            <w:pPr>
              <w:numPr>
                <w:ilvl w:val="0"/>
                <w:numId w:val="12"/>
              </w:numPr>
              <w:spacing w:after="0" w:line="240" w:lineRule="auto"/>
              <w:jc w:val="both"/>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lastRenderedPageBreak/>
              <w:t>EN CUALQUIER ESTADO DEL PROCESO, CUANDO EL JUZGADOR ENCUENTRE PROBADA LA COSA JUZGADA, LA CADUCIDAD, LA TRANSACCIÓN, LA CONCILIACIÓN, LA FALTA MANIFIESTA DE LEGITIMACIÓN EN LA CAUSA Y LA PRESCRIPCIÓN EXTINTIVA</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3° del artículo 182A del CPACA)</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estos eventos se debe proceder de la siguiente manera: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13"/>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Se correrá traslado para alegar, y en la providencia que así lo ordene, el juzgador precisará sobre cuál o cuáles de las excepciones se pronunciará; y</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14"/>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Escuchados o revisados los alegatos se proferirá sentencia anticipada, pero también se podrá reconsiderar la decisión de proferir sentencia de manera anticipada, y, en consecuencia, se continuará el trámite normal del proceso.</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i/>
                <w:iCs/>
                <w:color w:val="000000"/>
                <w:sz w:val="18"/>
                <w:szCs w:val="18"/>
                <w:lang w:eastAsia="es-CO"/>
              </w:rPr>
              <w:t>Nota: en el caso de la transacción, enlistada en el tercer evento en el que se puede dictar sentencia anticipada, se procederá en la manera que a continuación se describe</w:t>
            </w:r>
            <w:r w:rsidRPr="00BC0560">
              <w:rPr>
                <w:rFonts w:ascii="Arial" w:eastAsia="Times New Roman" w:hAnsi="Arial" w:cs="Arial"/>
                <w:color w:val="000000"/>
                <w:lang w:eastAsia="es-CO"/>
              </w:rPr>
              <w:t>. </w:t>
            </w:r>
          </w:p>
        </w:tc>
      </w:tr>
      <w:tr w:rsidR="00BC0560" w:rsidRPr="00BC0560"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0560" w:rsidRPr="00BC0560" w:rsidRDefault="00BC0560" w:rsidP="00BC0560">
            <w:pPr>
              <w:numPr>
                <w:ilvl w:val="0"/>
                <w:numId w:val="15"/>
              </w:numPr>
              <w:spacing w:after="0" w:line="240" w:lineRule="auto"/>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t>EN CASO DE ALLANAMIENTO O TRANSACCIÓN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4° del artículo 182A del CPACA)</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estos casos, el trámite será el siguiente: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16"/>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Se dictará sentencia anticipada de manera inmediata, en aplicación del artículo 176 del CPACA; pero</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17"/>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lastRenderedPageBreak/>
              <w:t>El juzgador podrá rechazar el allanamiento o la transacción, y decretar pruebas de oficio, cuando advierta fraude o colusión o lo pida un tercero que intervenga en el proceso, también en aplicación del artículo 176 del CPACA; y</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18"/>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 xml:space="preserve">Cumplido lo anterior, el juzgador podrá proferir sentencia anticipada inmediatamente </w:t>
            </w:r>
            <w:r w:rsidRPr="00BC0560">
              <w:rPr>
                <w:rFonts w:ascii="Arial" w:eastAsia="Times New Roman" w:hAnsi="Arial" w:cs="Arial"/>
                <w:i/>
                <w:iCs/>
                <w:color w:val="000000"/>
                <w:lang w:eastAsia="es-CO"/>
              </w:rPr>
              <w:t>-si ha desaparecido la sospecha de fraude o colusión-</w:t>
            </w:r>
            <w:r w:rsidRPr="00BC0560">
              <w:rPr>
                <w:rFonts w:ascii="Arial" w:eastAsia="Times New Roman" w:hAnsi="Arial" w:cs="Arial"/>
                <w:color w:val="000000"/>
                <w:lang w:eastAsia="es-CO"/>
              </w:rPr>
              <w:t>, o continuará el trámite normal del proceso.</w:t>
            </w:r>
          </w:p>
          <w:p w:rsidR="00BC0560" w:rsidRPr="00BC0560" w:rsidRDefault="00BC0560" w:rsidP="00BC0560">
            <w:pPr>
              <w:spacing w:after="240" w:line="240" w:lineRule="auto"/>
              <w:rPr>
                <w:rFonts w:ascii="Times New Roman" w:eastAsia="Times New Roman" w:hAnsi="Times New Roman" w:cs="Times New Roman"/>
                <w:sz w:val="24"/>
                <w:szCs w:val="24"/>
                <w:lang w:eastAsia="es-CO"/>
              </w:rPr>
            </w:pPr>
          </w:p>
        </w:tc>
      </w:tr>
    </w:tbl>
    <w:p w:rsidR="008C66DF" w:rsidRDefault="008C66DF"/>
    <w:sectPr w:rsidR="008C66D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A7E6D"/>
    <w:multiLevelType w:val="multilevel"/>
    <w:tmpl w:val="F1563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975EFE"/>
    <w:multiLevelType w:val="multilevel"/>
    <w:tmpl w:val="0DFA95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F44C52"/>
    <w:multiLevelType w:val="multilevel"/>
    <w:tmpl w:val="5E64B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DD1B38"/>
    <w:multiLevelType w:val="hybridMultilevel"/>
    <w:tmpl w:val="BE3C7548"/>
    <w:lvl w:ilvl="0" w:tplc="BDF02954">
      <w:start w:val="3"/>
      <w:numFmt w:val="lowerLetter"/>
      <w:lvlText w:val="%1."/>
      <w:lvlJc w:val="left"/>
      <w:pPr>
        <w:tabs>
          <w:tab w:val="num" w:pos="720"/>
        </w:tabs>
        <w:ind w:left="720" w:hanging="360"/>
      </w:pPr>
    </w:lvl>
    <w:lvl w:ilvl="1" w:tplc="C0203930" w:tentative="1">
      <w:start w:val="1"/>
      <w:numFmt w:val="decimal"/>
      <w:lvlText w:val="%2."/>
      <w:lvlJc w:val="left"/>
      <w:pPr>
        <w:tabs>
          <w:tab w:val="num" w:pos="1440"/>
        </w:tabs>
        <w:ind w:left="1440" w:hanging="360"/>
      </w:pPr>
    </w:lvl>
    <w:lvl w:ilvl="2" w:tplc="563EF7CC" w:tentative="1">
      <w:start w:val="1"/>
      <w:numFmt w:val="decimal"/>
      <w:lvlText w:val="%3."/>
      <w:lvlJc w:val="left"/>
      <w:pPr>
        <w:tabs>
          <w:tab w:val="num" w:pos="2160"/>
        </w:tabs>
        <w:ind w:left="2160" w:hanging="360"/>
      </w:pPr>
    </w:lvl>
    <w:lvl w:ilvl="3" w:tplc="1312160E" w:tentative="1">
      <w:start w:val="1"/>
      <w:numFmt w:val="decimal"/>
      <w:lvlText w:val="%4."/>
      <w:lvlJc w:val="left"/>
      <w:pPr>
        <w:tabs>
          <w:tab w:val="num" w:pos="2880"/>
        </w:tabs>
        <w:ind w:left="2880" w:hanging="360"/>
      </w:pPr>
    </w:lvl>
    <w:lvl w:ilvl="4" w:tplc="9DD6BC74" w:tentative="1">
      <w:start w:val="1"/>
      <w:numFmt w:val="decimal"/>
      <w:lvlText w:val="%5."/>
      <w:lvlJc w:val="left"/>
      <w:pPr>
        <w:tabs>
          <w:tab w:val="num" w:pos="3600"/>
        </w:tabs>
        <w:ind w:left="3600" w:hanging="360"/>
      </w:pPr>
    </w:lvl>
    <w:lvl w:ilvl="5" w:tplc="4D24EBE8" w:tentative="1">
      <w:start w:val="1"/>
      <w:numFmt w:val="decimal"/>
      <w:lvlText w:val="%6."/>
      <w:lvlJc w:val="left"/>
      <w:pPr>
        <w:tabs>
          <w:tab w:val="num" w:pos="4320"/>
        </w:tabs>
        <w:ind w:left="4320" w:hanging="360"/>
      </w:pPr>
    </w:lvl>
    <w:lvl w:ilvl="6" w:tplc="ABDEEABE" w:tentative="1">
      <w:start w:val="1"/>
      <w:numFmt w:val="decimal"/>
      <w:lvlText w:val="%7."/>
      <w:lvlJc w:val="left"/>
      <w:pPr>
        <w:tabs>
          <w:tab w:val="num" w:pos="5040"/>
        </w:tabs>
        <w:ind w:left="5040" w:hanging="360"/>
      </w:pPr>
    </w:lvl>
    <w:lvl w:ilvl="7" w:tplc="3FA64722" w:tentative="1">
      <w:start w:val="1"/>
      <w:numFmt w:val="decimal"/>
      <w:lvlText w:val="%8."/>
      <w:lvlJc w:val="left"/>
      <w:pPr>
        <w:tabs>
          <w:tab w:val="num" w:pos="5760"/>
        </w:tabs>
        <w:ind w:left="5760" w:hanging="360"/>
      </w:pPr>
    </w:lvl>
    <w:lvl w:ilvl="8" w:tplc="723CF90C" w:tentative="1">
      <w:start w:val="1"/>
      <w:numFmt w:val="decimal"/>
      <w:lvlText w:val="%9."/>
      <w:lvlJc w:val="left"/>
      <w:pPr>
        <w:tabs>
          <w:tab w:val="num" w:pos="6480"/>
        </w:tabs>
        <w:ind w:left="6480" w:hanging="360"/>
      </w:pPr>
    </w:lvl>
  </w:abstractNum>
  <w:abstractNum w:abstractNumId="4" w15:restartNumberingAfterBreak="0">
    <w:nsid w:val="272E385B"/>
    <w:multiLevelType w:val="hybridMultilevel"/>
    <w:tmpl w:val="98F09F56"/>
    <w:lvl w:ilvl="0" w:tplc="3ACCF482">
      <w:start w:val="2"/>
      <w:numFmt w:val="lowerLetter"/>
      <w:lvlText w:val="%1."/>
      <w:lvlJc w:val="left"/>
      <w:pPr>
        <w:tabs>
          <w:tab w:val="num" w:pos="720"/>
        </w:tabs>
        <w:ind w:left="720" w:hanging="360"/>
      </w:pPr>
    </w:lvl>
    <w:lvl w:ilvl="1" w:tplc="BDE0D506" w:tentative="1">
      <w:start w:val="1"/>
      <w:numFmt w:val="decimal"/>
      <w:lvlText w:val="%2."/>
      <w:lvlJc w:val="left"/>
      <w:pPr>
        <w:tabs>
          <w:tab w:val="num" w:pos="1440"/>
        </w:tabs>
        <w:ind w:left="1440" w:hanging="360"/>
      </w:pPr>
    </w:lvl>
    <w:lvl w:ilvl="2" w:tplc="ED068504" w:tentative="1">
      <w:start w:val="1"/>
      <w:numFmt w:val="decimal"/>
      <w:lvlText w:val="%3."/>
      <w:lvlJc w:val="left"/>
      <w:pPr>
        <w:tabs>
          <w:tab w:val="num" w:pos="2160"/>
        </w:tabs>
        <w:ind w:left="2160" w:hanging="360"/>
      </w:pPr>
    </w:lvl>
    <w:lvl w:ilvl="3" w:tplc="6FD0E08A" w:tentative="1">
      <w:start w:val="1"/>
      <w:numFmt w:val="decimal"/>
      <w:lvlText w:val="%4."/>
      <w:lvlJc w:val="left"/>
      <w:pPr>
        <w:tabs>
          <w:tab w:val="num" w:pos="2880"/>
        </w:tabs>
        <w:ind w:left="2880" w:hanging="360"/>
      </w:pPr>
    </w:lvl>
    <w:lvl w:ilvl="4" w:tplc="9CB66630" w:tentative="1">
      <w:start w:val="1"/>
      <w:numFmt w:val="decimal"/>
      <w:lvlText w:val="%5."/>
      <w:lvlJc w:val="left"/>
      <w:pPr>
        <w:tabs>
          <w:tab w:val="num" w:pos="3600"/>
        </w:tabs>
        <w:ind w:left="3600" w:hanging="360"/>
      </w:pPr>
    </w:lvl>
    <w:lvl w:ilvl="5" w:tplc="B49A28BE" w:tentative="1">
      <w:start w:val="1"/>
      <w:numFmt w:val="decimal"/>
      <w:lvlText w:val="%6."/>
      <w:lvlJc w:val="left"/>
      <w:pPr>
        <w:tabs>
          <w:tab w:val="num" w:pos="4320"/>
        </w:tabs>
        <w:ind w:left="4320" w:hanging="360"/>
      </w:pPr>
    </w:lvl>
    <w:lvl w:ilvl="6" w:tplc="49CEF4EE" w:tentative="1">
      <w:start w:val="1"/>
      <w:numFmt w:val="decimal"/>
      <w:lvlText w:val="%7."/>
      <w:lvlJc w:val="left"/>
      <w:pPr>
        <w:tabs>
          <w:tab w:val="num" w:pos="5040"/>
        </w:tabs>
        <w:ind w:left="5040" w:hanging="360"/>
      </w:pPr>
    </w:lvl>
    <w:lvl w:ilvl="7" w:tplc="D7E05B02" w:tentative="1">
      <w:start w:val="1"/>
      <w:numFmt w:val="decimal"/>
      <w:lvlText w:val="%8."/>
      <w:lvlJc w:val="left"/>
      <w:pPr>
        <w:tabs>
          <w:tab w:val="num" w:pos="5760"/>
        </w:tabs>
        <w:ind w:left="5760" w:hanging="360"/>
      </w:pPr>
    </w:lvl>
    <w:lvl w:ilvl="8" w:tplc="DF88F748" w:tentative="1">
      <w:start w:val="1"/>
      <w:numFmt w:val="decimal"/>
      <w:lvlText w:val="%9."/>
      <w:lvlJc w:val="left"/>
      <w:pPr>
        <w:tabs>
          <w:tab w:val="num" w:pos="6480"/>
        </w:tabs>
        <w:ind w:left="6480" w:hanging="360"/>
      </w:pPr>
    </w:lvl>
  </w:abstractNum>
  <w:abstractNum w:abstractNumId="5" w15:restartNumberingAfterBreak="0">
    <w:nsid w:val="31264D7F"/>
    <w:multiLevelType w:val="hybridMultilevel"/>
    <w:tmpl w:val="99CA4B0C"/>
    <w:lvl w:ilvl="0" w:tplc="66A894D2">
      <w:start w:val="2"/>
      <w:numFmt w:val="lowerLetter"/>
      <w:lvlText w:val="%1."/>
      <w:lvlJc w:val="left"/>
      <w:pPr>
        <w:tabs>
          <w:tab w:val="num" w:pos="720"/>
        </w:tabs>
        <w:ind w:left="720" w:hanging="360"/>
      </w:pPr>
    </w:lvl>
    <w:lvl w:ilvl="1" w:tplc="A9B8A2AA" w:tentative="1">
      <w:start w:val="1"/>
      <w:numFmt w:val="decimal"/>
      <w:lvlText w:val="%2."/>
      <w:lvlJc w:val="left"/>
      <w:pPr>
        <w:tabs>
          <w:tab w:val="num" w:pos="1440"/>
        </w:tabs>
        <w:ind w:left="1440" w:hanging="360"/>
      </w:pPr>
    </w:lvl>
    <w:lvl w:ilvl="2" w:tplc="05A03796" w:tentative="1">
      <w:start w:val="1"/>
      <w:numFmt w:val="decimal"/>
      <w:lvlText w:val="%3."/>
      <w:lvlJc w:val="left"/>
      <w:pPr>
        <w:tabs>
          <w:tab w:val="num" w:pos="2160"/>
        </w:tabs>
        <w:ind w:left="2160" w:hanging="360"/>
      </w:pPr>
    </w:lvl>
    <w:lvl w:ilvl="3" w:tplc="FBEC28E6" w:tentative="1">
      <w:start w:val="1"/>
      <w:numFmt w:val="decimal"/>
      <w:lvlText w:val="%4."/>
      <w:lvlJc w:val="left"/>
      <w:pPr>
        <w:tabs>
          <w:tab w:val="num" w:pos="2880"/>
        </w:tabs>
        <w:ind w:left="2880" w:hanging="360"/>
      </w:pPr>
    </w:lvl>
    <w:lvl w:ilvl="4" w:tplc="5058C19A" w:tentative="1">
      <w:start w:val="1"/>
      <w:numFmt w:val="decimal"/>
      <w:lvlText w:val="%5."/>
      <w:lvlJc w:val="left"/>
      <w:pPr>
        <w:tabs>
          <w:tab w:val="num" w:pos="3600"/>
        </w:tabs>
        <w:ind w:left="3600" w:hanging="360"/>
      </w:pPr>
    </w:lvl>
    <w:lvl w:ilvl="5" w:tplc="D37E2866" w:tentative="1">
      <w:start w:val="1"/>
      <w:numFmt w:val="decimal"/>
      <w:lvlText w:val="%6."/>
      <w:lvlJc w:val="left"/>
      <w:pPr>
        <w:tabs>
          <w:tab w:val="num" w:pos="4320"/>
        </w:tabs>
        <w:ind w:left="4320" w:hanging="360"/>
      </w:pPr>
    </w:lvl>
    <w:lvl w:ilvl="6" w:tplc="4FE2071C" w:tentative="1">
      <w:start w:val="1"/>
      <w:numFmt w:val="decimal"/>
      <w:lvlText w:val="%7."/>
      <w:lvlJc w:val="left"/>
      <w:pPr>
        <w:tabs>
          <w:tab w:val="num" w:pos="5040"/>
        </w:tabs>
        <w:ind w:left="5040" w:hanging="360"/>
      </w:pPr>
    </w:lvl>
    <w:lvl w:ilvl="7" w:tplc="372634EE" w:tentative="1">
      <w:start w:val="1"/>
      <w:numFmt w:val="decimal"/>
      <w:lvlText w:val="%8."/>
      <w:lvlJc w:val="left"/>
      <w:pPr>
        <w:tabs>
          <w:tab w:val="num" w:pos="5760"/>
        </w:tabs>
        <w:ind w:left="5760" w:hanging="360"/>
      </w:pPr>
    </w:lvl>
    <w:lvl w:ilvl="8" w:tplc="16AC40DA" w:tentative="1">
      <w:start w:val="1"/>
      <w:numFmt w:val="decimal"/>
      <w:lvlText w:val="%9."/>
      <w:lvlJc w:val="left"/>
      <w:pPr>
        <w:tabs>
          <w:tab w:val="num" w:pos="6480"/>
        </w:tabs>
        <w:ind w:left="6480" w:hanging="360"/>
      </w:pPr>
    </w:lvl>
  </w:abstractNum>
  <w:abstractNum w:abstractNumId="6" w15:restartNumberingAfterBreak="0">
    <w:nsid w:val="32204302"/>
    <w:multiLevelType w:val="hybridMultilevel"/>
    <w:tmpl w:val="B7BC454C"/>
    <w:lvl w:ilvl="0" w:tplc="F0C8C08E">
      <w:start w:val="3"/>
      <w:numFmt w:val="lowerLetter"/>
      <w:lvlText w:val="%1."/>
      <w:lvlJc w:val="left"/>
      <w:pPr>
        <w:tabs>
          <w:tab w:val="num" w:pos="720"/>
        </w:tabs>
        <w:ind w:left="720" w:hanging="360"/>
      </w:pPr>
    </w:lvl>
    <w:lvl w:ilvl="1" w:tplc="7DCED708" w:tentative="1">
      <w:start w:val="1"/>
      <w:numFmt w:val="decimal"/>
      <w:lvlText w:val="%2."/>
      <w:lvlJc w:val="left"/>
      <w:pPr>
        <w:tabs>
          <w:tab w:val="num" w:pos="1440"/>
        </w:tabs>
        <w:ind w:left="1440" w:hanging="360"/>
      </w:pPr>
    </w:lvl>
    <w:lvl w:ilvl="2" w:tplc="C65E868A" w:tentative="1">
      <w:start w:val="1"/>
      <w:numFmt w:val="decimal"/>
      <w:lvlText w:val="%3."/>
      <w:lvlJc w:val="left"/>
      <w:pPr>
        <w:tabs>
          <w:tab w:val="num" w:pos="2160"/>
        </w:tabs>
        <w:ind w:left="2160" w:hanging="360"/>
      </w:pPr>
    </w:lvl>
    <w:lvl w:ilvl="3" w:tplc="BBDEBCC0" w:tentative="1">
      <w:start w:val="1"/>
      <w:numFmt w:val="decimal"/>
      <w:lvlText w:val="%4."/>
      <w:lvlJc w:val="left"/>
      <w:pPr>
        <w:tabs>
          <w:tab w:val="num" w:pos="2880"/>
        </w:tabs>
        <w:ind w:left="2880" w:hanging="360"/>
      </w:pPr>
    </w:lvl>
    <w:lvl w:ilvl="4" w:tplc="AAF03512" w:tentative="1">
      <w:start w:val="1"/>
      <w:numFmt w:val="decimal"/>
      <w:lvlText w:val="%5."/>
      <w:lvlJc w:val="left"/>
      <w:pPr>
        <w:tabs>
          <w:tab w:val="num" w:pos="3600"/>
        </w:tabs>
        <w:ind w:left="3600" w:hanging="360"/>
      </w:pPr>
    </w:lvl>
    <w:lvl w:ilvl="5" w:tplc="45FC3B5E" w:tentative="1">
      <w:start w:val="1"/>
      <w:numFmt w:val="decimal"/>
      <w:lvlText w:val="%6."/>
      <w:lvlJc w:val="left"/>
      <w:pPr>
        <w:tabs>
          <w:tab w:val="num" w:pos="4320"/>
        </w:tabs>
        <w:ind w:left="4320" w:hanging="360"/>
      </w:pPr>
    </w:lvl>
    <w:lvl w:ilvl="6" w:tplc="E0221FB6" w:tentative="1">
      <w:start w:val="1"/>
      <w:numFmt w:val="decimal"/>
      <w:lvlText w:val="%7."/>
      <w:lvlJc w:val="left"/>
      <w:pPr>
        <w:tabs>
          <w:tab w:val="num" w:pos="5040"/>
        </w:tabs>
        <w:ind w:left="5040" w:hanging="360"/>
      </w:pPr>
    </w:lvl>
    <w:lvl w:ilvl="7" w:tplc="D3A27C28" w:tentative="1">
      <w:start w:val="1"/>
      <w:numFmt w:val="decimal"/>
      <w:lvlText w:val="%8."/>
      <w:lvlJc w:val="left"/>
      <w:pPr>
        <w:tabs>
          <w:tab w:val="num" w:pos="5760"/>
        </w:tabs>
        <w:ind w:left="5760" w:hanging="360"/>
      </w:pPr>
    </w:lvl>
    <w:lvl w:ilvl="8" w:tplc="8210FE7A" w:tentative="1">
      <w:start w:val="1"/>
      <w:numFmt w:val="decimal"/>
      <w:lvlText w:val="%9."/>
      <w:lvlJc w:val="left"/>
      <w:pPr>
        <w:tabs>
          <w:tab w:val="num" w:pos="6480"/>
        </w:tabs>
        <w:ind w:left="6480" w:hanging="360"/>
      </w:pPr>
    </w:lvl>
  </w:abstractNum>
  <w:abstractNum w:abstractNumId="7" w15:restartNumberingAfterBreak="0">
    <w:nsid w:val="3EF74B55"/>
    <w:multiLevelType w:val="multilevel"/>
    <w:tmpl w:val="A06CE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4F912D5"/>
    <w:multiLevelType w:val="hybridMultilevel"/>
    <w:tmpl w:val="33C2F6DA"/>
    <w:lvl w:ilvl="0" w:tplc="BF8865E2">
      <w:start w:val="4"/>
      <w:numFmt w:val="lowerLetter"/>
      <w:lvlText w:val="%1."/>
      <w:lvlJc w:val="left"/>
      <w:pPr>
        <w:tabs>
          <w:tab w:val="num" w:pos="720"/>
        </w:tabs>
        <w:ind w:left="720" w:hanging="360"/>
      </w:pPr>
    </w:lvl>
    <w:lvl w:ilvl="1" w:tplc="F2182DAE" w:tentative="1">
      <w:start w:val="1"/>
      <w:numFmt w:val="decimal"/>
      <w:lvlText w:val="%2."/>
      <w:lvlJc w:val="left"/>
      <w:pPr>
        <w:tabs>
          <w:tab w:val="num" w:pos="1440"/>
        </w:tabs>
        <w:ind w:left="1440" w:hanging="360"/>
      </w:pPr>
    </w:lvl>
    <w:lvl w:ilvl="2" w:tplc="F216C2D4" w:tentative="1">
      <w:start w:val="1"/>
      <w:numFmt w:val="decimal"/>
      <w:lvlText w:val="%3."/>
      <w:lvlJc w:val="left"/>
      <w:pPr>
        <w:tabs>
          <w:tab w:val="num" w:pos="2160"/>
        </w:tabs>
        <w:ind w:left="2160" w:hanging="360"/>
      </w:pPr>
    </w:lvl>
    <w:lvl w:ilvl="3" w:tplc="B074E0B0" w:tentative="1">
      <w:start w:val="1"/>
      <w:numFmt w:val="decimal"/>
      <w:lvlText w:val="%4."/>
      <w:lvlJc w:val="left"/>
      <w:pPr>
        <w:tabs>
          <w:tab w:val="num" w:pos="2880"/>
        </w:tabs>
        <w:ind w:left="2880" w:hanging="360"/>
      </w:pPr>
    </w:lvl>
    <w:lvl w:ilvl="4" w:tplc="779651AC" w:tentative="1">
      <w:start w:val="1"/>
      <w:numFmt w:val="decimal"/>
      <w:lvlText w:val="%5."/>
      <w:lvlJc w:val="left"/>
      <w:pPr>
        <w:tabs>
          <w:tab w:val="num" w:pos="3600"/>
        </w:tabs>
        <w:ind w:left="3600" w:hanging="360"/>
      </w:pPr>
    </w:lvl>
    <w:lvl w:ilvl="5" w:tplc="9892981A" w:tentative="1">
      <w:start w:val="1"/>
      <w:numFmt w:val="decimal"/>
      <w:lvlText w:val="%6."/>
      <w:lvlJc w:val="left"/>
      <w:pPr>
        <w:tabs>
          <w:tab w:val="num" w:pos="4320"/>
        </w:tabs>
        <w:ind w:left="4320" w:hanging="360"/>
      </w:pPr>
    </w:lvl>
    <w:lvl w:ilvl="6" w:tplc="8A1022E2" w:tentative="1">
      <w:start w:val="1"/>
      <w:numFmt w:val="decimal"/>
      <w:lvlText w:val="%7."/>
      <w:lvlJc w:val="left"/>
      <w:pPr>
        <w:tabs>
          <w:tab w:val="num" w:pos="5040"/>
        </w:tabs>
        <w:ind w:left="5040" w:hanging="360"/>
      </w:pPr>
    </w:lvl>
    <w:lvl w:ilvl="7" w:tplc="B8B44E54" w:tentative="1">
      <w:start w:val="1"/>
      <w:numFmt w:val="decimal"/>
      <w:lvlText w:val="%8."/>
      <w:lvlJc w:val="left"/>
      <w:pPr>
        <w:tabs>
          <w:tab w:val="num" w:pos="5760"/>
        </w:tabs>
        <w:ind w:left="5760" w:hanging="360"/>
      </w:pPr>
    </w:lvl>
    <w:lvl w:ilvl="8" w:tplc="8692262C" w:tentative="1">
      <w:start w:val="1"/>
      <w:numFmt w:val="decimal"/>
      <w:lvlText w:val="%9."/>
      <w:lvlJc w:val="left"/>
      <w:pPr>
        <w:tabs>
          <w:tab w:val="num" w:pos="6480"/>
        </w:tabs>
        <w:ind w:left="6480" w:hanging="360"/>
      </w:pPr>
    </w:lvl>
  </w:abstractNum>
  <w:abstractNum w:abstractNumId="9" w15:restartNumberingAfterBreak="0">
    <w:nsid w:val="5679271F"/>
    <w:multiLevelType w:val="multilevel"/>
    <w:tmpl w:val="09708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C12784"/>
    <w:multiLevelType w:val="hybridMultilevel"/>
    <w:tmpl w:val="4F90CDB0"/>
    <w:lvl w:ilvl="0" w:tplc="6C2AFA0A">
      <w:start w:val="2"/>
      <w:numFmt w:val="lowerLetter"/>
      <w:lvlText w:val="%1."/>
      <w:lvlJc w:val="left"/>
      <w:pPr>
        <w:tabs>
          <w:tab w:val="num" w:pos="720"/>
        </w:tabs>
        <w:ind w:left="720" w:hanging="360"/>
      </w:pPr>
    </w:lvl>
    <w:lvl w:ilvl="1" w:tplc="F1E0A49A" w:tentative="1">
      <w:start w:val="1"/>
      <w:numFmt w:val="decimal"/>
      <w:lvlText w:val="%2."/>
      <w:lvlJc w:val="left"/>
      <w:pPr>
        <w:tabs>
          <w:tab w:val="num" w:pos="1440"/>
        </w:tabs>
        <w:ind w:left="1440" w:hanging="360"/>
      </w:pPr>
    </w:lvl>
    <w:lvl w:ilvl="2" w:tplc="3934030E" w:tentative="1">
      <w:start w:val="1"/>
      <w:numFmt w:val="decimal"/>
      <w:lvlText w:val="%3."/>
      <w:lvlJc w:val="left"/>
      <w:pPr>
        <w:tabs>
          <w:tab w:val="num" w:pos="2160"/>
        </w:tabs>
        <w:ind w:left="2160" w:hanging="360"/>
      </w:pPr>
    </w:lvl>
    <w:lvl w:ilvl="3" w:tplc="9D1A9A46" w:tentative="1">
      <w:start w:val="1"/>
      <w:numFmt w:val="decimal"/>
      <w:lvlText w:val="%4."/>
      <w:lvlJc w:val="left"/>
      <w:pPr>
        <w:tabs>
          <w:tab w:val="num" w:pos="2880"/>
        </w:tabs>
        <w:ind w:left="2880" w:hanging="360"/>
      </w:pPr>
    </w:lvl>
    <w:lvl w:ilvl="4" w:tplc="1444BF60" w:tentative="1">
      <w:start w:val="1"/>
      <w:numFmt w:val="decimal"/>
      <w:lvlText w:val="%5."/>
      <w:lvlJc w:val="left"/>
      <w:pPr>
        <w:tabs>
          <w:tab w:val="num" w:pos="3600"/>
        </w:tabs>
        <w:ind w:left="3600" w:hanging="360"/>
      </w:pPr>
    </w:lvl>
    <w:lvl w:ilvl="5" w:tplc="4A087610" w:tentative="1">
      <w:start w:val="1"/>
      <w:numFmt w:val="decimal"/>
      <w:lvlText w:val="%6."/>
      <w:lvlJc w:val="left"/>
      <w:pPr>
        <w:tabs>
          <w:tab w:val="num" w:pos="4320"/>
        </w:tabs>
        <w:ind w:left="4320" w:hanging="360"/>
      </w:pPr>
    </w:lvl>
    <w:lvl w:ilvl="6" w:tplc="CE4CF64A" w:tentative="1">
      <w:start w:val="1"/>
      <w:numFmt w:val="decimal"/>
      <w:lvlText w:val="%7."/>
      <w:lvlJc w:val="left"/>
      <w:pPr>
        <w:tabs>
          <w:tab w:val="num" w:pos="5040"/>
        </w:tabs>
        <w:ind w:left="5040" w:hanging="360"/>
      </w:pPr>
    </w:lvl>
    <w:lvl w:ilvl="7" w:tplc="30160EBC" w:tentative="1">
      <w:start w:val="1"/>
      <w:numFmt w:val="decimal"/>
      <w:lvlText w:val="%8."/>
      <w:lvlJc w:val="left"/>
      <w:pPr>
        <w:tabs>
          <w:tab w:val="num" w:pos="5760"/>
        </w:tabs>
        <w:ind w:left="5760" w:hanging="360"/>
      </w:pPr>
    </w:lvl>
    <w:lvl w:ilvl="8" w:tplc="A3764D78" w:tentative="1">
      <w:start w:val="1"/>
      <w:numFmt w:val="decimal"/>
      <w:lvlText w:val="%9."/>
      <w:lvlJc w:val="left"/>
      <w:pPr>
        <w:tabs>
          <w:tab w:val="num" w:pos="6480"/>
        </w:tabs>
        <w:ind w:left="6480" w:hanging="360"/>
      </w:pPr>
    </w:lvl>
  </w:abstractNum>
  <w:abstractNum w:abstractNumId="11" w15:restartNumberingAfterBreak="0">
    <w:nsid w:val="65C1590D"/>
    <w:multiLevelType w:val="multilevel"/>
    <w:tmpl w:val="3438A2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7062D52"/>
    <w:multiLevelType w:val="hybridMultilevel"/>
    <w:tmpl w:val="B39C181C"/>
    <w:lvl w:ilvl="0" w:tplc="4D2E398E">
      <w:start w:val="5"/>
      <w:numFmt w:val="lowerLetter"/>
      <w:lvlText w:val="%1."/>
      <w:lvlJc w:val="left"/>
      <w:pPr>
        <w:tabs>
          <w:tab w:val="num" w:pos="720"/>
        </w:tabs>
        <w:ind w:left="720" w:hanging="360"/>
      </w:pPr>
    </w:lvl>
    <w:lvl w:ilvl="1" w:tplc="6212E392" w:tentative="1">
      <w:start w:val="1"/>
      <w:numFmt w:val="decimal"/>
      <w:lvlText w:val="%2."/>
      <w:lvlJc w:val="left"/>
      <w:pPr>
        <w:tabs>
          <w:tab w:val="num" w:pos="1440"/>
        </w:tabs>
        <w:ind w:left="1440" w:hanging="360"/>
      </w:pPr>
    </w:lvl>
    <w:lvl w:ilvl="2" w:tplc="D2DA962C" w:tentative="1">
      <w:start w:val="1"/>
      <w:numFmt w:val="decimal"/>
      <w:lvlText w:val="%3."/>
      <w:lvlJc w:val="left"/>
      <w:pPr>
        <w:tabs>
          <w:tab w:val="num" w:pos="2160"/>
        </w:tabs>
        <w:ind w:left="2160" w:hanging="360"/>
      </w:pPr>
    </w:lvl>
    <w:lvl w:ilvl="3" w:tplc="BBB0D0B4" w:tentative="1">
      <w:start w:val="1"/>
      <w:numFmt w:val="decimal"/>
      <w:lvlText w:val="%4."/>
      <w:lvlJc w:val="left"/>
      <w:pPr>
        <w:tabs>
          <w:tab w:val="num" w:pos="2880"/>
        </w:tabs>
        <w:ind w:left="2880" w:hanging="360"/>
      </w:pPr>
    </w:lvl>
    <w:lvl w:ilvl="4" w:tplc="1AFC9512" w:tentative="1">
      <w:start w:val="1"/>
      <w:numFmt w:val="decimal"/>
      <w:lvlText w:val="%5."/>
      <w:lvlJc w:val="left"/>
      <w:pPr>
        <w:tabs>
          <w:tab w:val="num" w:pos="3600"/>
        </w:tabs>
        <w:ind w:left="3600" w:hanging="360"/>
      </w:pPr>
    </w:lvl>
    <w:lvl w:ilvl="5" w:tplc="76F29F1C" w:tentative="1">
      <w:start w:val="1"/>
      <w:numFmt w:val="decimal"/>
      <w:lvlText w:val="%6."/>
      <w:lvlJc w:val="left"/>
      <w:pPr>
        <w:tabs>
          <w:tab w:val="num" w:pos="4320"/>
        </w:tabs>
        <w:ind w:left="4320" w:hanging="360"/>
      </w:pPr>
    </w:lvl>
    <w:lvl w:ilvl="6" w:tplc="8A4022AA" w:tentative="1">
      <w:start w:val="1"/>
      <w:numFmt w:val="decimal"/>
      <w:lvlText w:val="%7."/>
      <w:lvlJc w:val="left"/>
      <w:pPr>
        <w:tabs>
          <w:tab w:val="num" w:pos="5040"/>
        </w:tabs>
        <w:ind w:left="5040" w:hanging="360"/>
      </w:pPr>
    </w:lvl>
    <w:lvl w:ilvl="7" w:tplc="4F8C40A0" w:tentative="1">
      <w:start w:val="1"/>
      <w:numFmt w:val="decimal"/>
      <w:lvlText w:val="%8."/>
      <w:lvlJc w:val="left"/>
      <w:pPr>
        <w:tabs>
          <w:tab w:val="num" w:pos="5760"/>
        </w:tabs>
        <w:ind w:left="5760" w:hanging="360"/>
      </w:pPr>
    </w:lvl>
    <w:lvl w:ilvl="8" w:tplc="ABAEDAFE" w:tentative="1">
      <w:start w:val="1"/>
      <w:numFmt w:val="decimal"/>
      <w:lvlText w:val="%9."/>
      <w:lvlJc w:val="left"/>
      <w:pPr>
        <w:tabs>
          <w:tab w:val="num" w:pos="6480"/>
        </w:tabs>
        <w:ind w:left="6480" w:hanging="360"/>
      </w:pPr>
    </w:lvl>
  </w:abstractNum>
  <w:abstractNum w:abstractNumId="13" w15:restartNumberingAfterBreak="0">
    <w:nsid w:val="68195D88"/>
    <w:multiLevelType w:val="multilevel"/>
    <w:tmpl w:val="D1E85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9C58E1"/>
    <w:multiLevelType w:val="multilevel"/>
    <w:tmpl w:val="14DCB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BE73E8F"/>
    <w:multiLevelType w:val="multilevel"/>
    <w:tmpl w:val="662AE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302C10"/>
    <w:multiLevelType w:val="multilevel"/>
    <w:tmpl w:val="2A4E4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BE95D15"/>
    <w:multiLevelType w:val="multilevel"/>
    <w:tmpl w:val="6D04AE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9"/>
  </w:num>
  <w:num w:numId="3">
    <w:abstractNumId w:val="2"/>
  </w:num>
  <w:num w:numId="4">
    <w:abstractNumId w:val="13"/>
  </w:num>
  <w:num w:numId="5">
    <w:abstractNumId w:val="16"/>
  </w:num>
  <w:num w:numId="6">
    <w:abstractNumId w:val="17"/>
    <w:lvlOverride w:ilvl="0">
      <w:lvl w:ilvl="0">
        <w:numFmt w:val="decimal"/>
        <w:lvlText w:val="%1."/>
        <w:lvlJc w:val="left"/>
      </w:lvl>
    </w:lvlOverride>
  </w:num>
  <w:num w:numId="7">
    <w:abstractNumId w:val="0"/>
    <w:lvlOverride w:ilvl="0">
      <w:lvl w:ilvl="0">
        <w:numFmt w:val="lowerLetter"/>
        <w:lvlText w:val="%1."/>
        <w:lvlJc w:val="left"/>
      </w:lvl>
    </w:lvlOverride>
  </w:num>
  <w:num w:numId="8">
    <w:abstractNumId w:val="10"/>
  </w:num>
  <w:num w:numId="9">
    <w:abstractNumId w:val="6"/>
  </w:num>
  <w:num w:numId="10">
    <w:abstractNumId w:val="8"/>
  </w:num>
  <w:num w:numId="11">
    <w:abstractNumId w:val="12"/>
  </w:num>
  <w:num w:numId="12">
    <w:abstractNumId w:val="11"/>
    <w:lvlOverride w:ilvl="0">
      <w:lvl w:ilvl="0">
        <w:numFmt w:val="decimal"/>
        <w:lvlText w:val="%1."/>
        <w:lvlJc w:val="left"/>
      </w:lvl>
    </w:lvlOverride>
  </w:num>
  <w:num w:numId="13">
    <w:abstractNumId w:val="7"/>
    <w:lvlOverride w:ilvl="0">
      <w:lvl w:ilvl="0">
        <w:numFmt w:val="lowerLetter"/>
        <w:lvlText w:val="%1."/>
        <w:lvlJc w:val="left"/>
      </w:lvl>
    </w:lvlOverride>
  </w:num>
  <w:num w:numId="14">
    <w:abstractNumId w:val="4"/>
  </w:num>
  <w:num w:numId="15">
    <w:abstractNumId w:val="1"/>
    <w:lvlOverride w:ilvl="0">
      <w:lvl w:ilvl="0">
        <w:numFmt w:val="decimal"/>
        <w:lvlText w:val="%1."/>
        <w:lvlJc w:val="left"/>
      </w:lvl>
    </w:lvlOverride>
  </w:num>
  <w:num w:numId="16">
    <w:abstractNumId w:val="14"/>
    <w:lvlOverride w:ilvl="0">
      <w:lvl w:ilvl="0">
        <w:numFmt w:val="lowerLetter"/>
        <w:lvlText w:val="%1."/>
        <w:lvlJc w:val="left"/>
      </w:lvl>
    </w:lvlOverride>
  </w:num>
  <w:num w:numId="17">
    <w:abstractNumId w:val="5"/>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25A2"/>
    <w:rsid w:val="00047E44"/>
    <w:rsid w:val="008A4D7C"/>
    <w:rsid w:val="008C66DF"/>
    <w:rsid w:val="009132E2"/>
    <w:rsid w:val="009E03CD"/>
    <w:rsid w:val="00A423D6"/>
    <w:rsid w:val="00B530D5"/>
    <w:rsid w:val="00B625A2"/>
    <w:rsid w:val="00BC0560"/>
    <w:rsid w:val="00D454B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98A4D"/>
  <w15:docId w15:val="{40C51BA7-1E55-499C-BA33-1344EFC9F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454B2"/>
    <w:pPr>
      <w:ind w:left="720"/>
      <w:contextualSpacing/>
    </w:pPr>
  </w:style>
  <w:style w:type="paragraph" w:styleId="Sinespaciado">
    <w:name w:val="No Spacing"/>
    <w:link w:val="SinespaciadoCar"/>
    <w:uiPriority w:val="1"/>
    <w:qFormat/>
    <w:rsid w:val="009132E2"/>
    <w:pPr>
      <w:spacing w:after="0" w:line="240" w:lineRule="auto"/>
    </w:pPr>
  </w:style>
  <w:style w:type="character" w:customStyle="1" w:styleId="SinespaciadoCar">
    <w:name w:val="Sin espaciado Car"/>
    <w:link w:val="Sinespaciado"/>
    <w:uiPriority w:val="1"/>
    <w:rsid w:val="009132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3122261">
      <w:bodyDiv w:val="1"/>
      <w:marLeft w:val="0"/>
      <w:marRight w:val="0"/>
      <w:marTop w:val="0"/>
      <w:marBottom w:val="0"/>
      <w:divBdr>
        <w:top w:val="none" w:sz="0" w:space="0" w:color="auto"/>
        <w:left w:val="none" w:sz="0" w:space="0" w:color="auto"/>
        <w:bottom w:val="none" w:sz="0" w:space="0" w:color="auto"/>
        <w:right w:val="none" w:sz="0" w:space="0" w:color="auto"/>
      </w:divBdr>
      <w:divsChild>
        <w:div w:id="1507817281">
          <w:marLeft w:val="-1242"/>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Pages>
  <Words>892</Words>
  <Characters>5091</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SANTIAGO</cp:lastModifiedBy>
  <cp:revision>4</cp:revision>
  <dcterms:created xsi:type="dcterms:W3CDTF">2021-08-19T20:36:00Z</dcterms:created>
  <dcterms:modified xsi:type="dcterms:W3CDTF">2021-09-06T03:11:00Z</dcterms:modified>
</cp:coreProperties>
</file>