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54D08FA"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83707C">
        <w:rPr>
          <w:rFonts w:ascii="Arial" w:eastAsia="Calibri" w:hAnsi="Arial" w:cs="Arial"/>
          <w:lang w:val="es-MX"/>
        </w:rPr>
        <w:t xml:space="preserve"> Ibeth Dayana Guerra Fajardo</w:t>
      </w:r>
    </w:p>
    <w:p w14:paraId="5F7DBDD4" w14:textId="07B2B168"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83707C">
        <w:rPr>
          <w:rFonts w:ascii="Arial" w:hAnsi="Arial" w:cs="Arial"/>
          <w:lang w:val="es-MX"/>
        </w:rPr>
        <w:t>05/09/2021</w:t>
      </w:r>
    </w:p>
    <w:p w14:paraId="75E84AC6" w14:textId="6E7E4222"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F54B23">
        <w:rPr>
          <w:rFonts w:ascii="Arial" w:hAnsi="Arial" w:cs="Arial"/>
          <w:lang w:val="es-MX"/>
        </w:rPr>
        <w:t>Nulidad y Restablecimiento del Derecho</w:t>
      </w:r>
    </w:p>
    <w:p w14:paraId="6B89892F" w14:textId="6046606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E26EED">
        <w:rPr>
          <w:rFonts w:ascii="Arial" w:hAnsi="Arial" w:cs="Arial"/>
          <w:lang w:val="es-MX"/>
        </w:rPr>
        <w:t xml:space="preserve"> Martha Fabiola del Carmen Torres Pérez</w:t>
      </w:r>
    </w:p>
    <w:p w14:paraId="1660C8A3" w14:textId="1E4D7EB1" w:rsidR="00B713D2" w:rsidRDefault="00B713D2" w:rsidP="00B713D2">
      <w:pPr>
        <w:pStyle w:val="Sinespaciado"/>
        <w:ind w:left="-1134"/>
        <w:rPr>
          <w:rFonts w:ascii="Arial" w:hAnsi="Arial" w:cs="Arial"/>
          <w:lang w:val="es-MX"/>
        </w:rPr>
      </w:pPr>
      <w:r w:rsidRPr="001F2D25">
        <w:rPr>
          <w:rFonts w:ascii="Arial" w:hAnsi="Arial" w:cs="Arial"/>
          <w:lang w:val="es-MX"/>
        </w:rPr>
        <w:t>Demandado:</w:t>
      </w:r>
      <w:r w:rsidR="00E26EED">
        <w:rPr>
          <w:rFonts w:ascii="Arial" w:hAnsi="Arial" w:cs="Arial"/>
          <w:lang w:val="es-MX"/>
        </w:rPr>
        <w:t xml:space="preserve"> Dirección de Tránsito y Transporte de Floridablanca</w:t>
      </w:r>
    </w:p>
    <w:p w14:paraId="1E020ED7" w14:textId="117E9270" w:rsidR="00E26EED" w:rsidRPr="001F2D25" w:rsidRDefault="00E26EED" w:rsidP="00B713D2">
      <w:pPr>
        <w:pStyle w:val="Sinespaciado"/>
        <w:ind w:left="-1134"/>
        <w:rPr>
          <w:rFonts w:ascii="Arial" w:hAnsi="Arial" w:cs="Arial"/>
          <w:lang w:val="es-MX"/>
        </w:rPr>
      </w:pPr>
      <w:r>
        <w:rPr>
          <w:rFonts w:ascii="Arial" w:hAnsi="Arial" w:cs="Arial"/>
          <w:lang w:val="es-MX"/>
        </w:rPr>
        <w:t>Llamado en Garantía: Sociedad Infracciones Eléctricas de Floridablanca</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7D0B9F" w:rsidRDefault="00222D4A" w:rsidP="007D0B9F">
            <w:pPr>
              <w:pStyle w:val="Sinespaciado"/>
              <w:jc w:val="both"/>
              <w:rPr>
                <w:rFonts w:ascii="Arial" w:eastAsia="Calibri" w:hAnsi="Arial" w:cs="Arial"/>
                <w:lang w:val="es-MX"/>
              </w:rPr>
            </w:pPr>
          </w:p>
          <w:p w14:paraId="5D249CA6" w14:textId="4698515D" w:rsidR="00222D4A" w:rsidRPr="00505994" w:rsidRDefault="00C71135" w:rsidP="007D0B9F">
            <w:pPr>
              <w:pStyle w:val="Sinespaciado"/>
              <w:jc w:val="both"/>
              <w:rPr>
                <w:rFonts w:ascii="Arial" w:hAnsi="Arial" w:cs="Arial"/>
                <w:i/>
              </w:rPr>
            </w:pPr>
            <w:r w:rsidRPr="00505994">
              <w:rPr>
                <w:rFonts w:ascii="Arial" w:hAnsi="Arial" w:cs="Arial"/>
                <w:i/>
              </w:rPr>
              <w:t xml:space="preserve">El </w:t>
            </w:r>
            <w:r w:rsidR="007D0B9F" w:rsidRPr="00505994">
              <w:rPr>
                <w:rFonts w:ascii="Arial" w:hAnsi="Arial" w:cs="Arial"/>
                <w:i/>
              </w:rPr>
              <w:t>termino de traslado de la demanda se encuentra vencido y la demandada no formulo excepciones</w:t>
            </w:r>
            <w:bookmarkStart w:id="0" w:name="_GoBack"/>
            <w:bookmarkEnd w:id="0"/>
            <w:r w:rsidR="007D0B9F" w:rsidRPr="00505994">
              <w:rPr>
                <w:rFonts w:ascii="Arial" w:hAnsi="Arial" w:cs="Arial"/>
                <w:i/>
              </w:rPr>
              <w:t xml:space="preserve"> previas que deban ser resueltas en esta etapa procesal y los requisitos de </w:t>
            </w:r>
            <w:proofErr w:type="spellStart"/>
            <w:r w:rsidR="007D0B9F" w:rsidRPr="00505994">
              <w:rPr>
                <w:rFonts w:ascii="Arial" w:hAnsi="Arial" w:cs="Arial"/>
                <w:i/>
              </w:rPr>
              <w:t>procedibilidad</w:t>
            </w:r>
            <w:proofErr w:type="spellEnd"/>
            <w:r w:rsidR="007D0B9F" w:rsidRPr="00505994">
              <w:rPr>
                <w:rFonts w:ascii="Arial" w:hAnsi="Arial" w:cs="Arial"/>
                <w:i/>
              </w:rPr>
              <w:t xml:space="preserve"> se encuentran satisfechos.</w:t>
            </w:r>
          </w:p>
          <w:p w14:paraId="6358D801" w14:textId="77777777" w:rsidR="007D0B9F" w:rsidRPr="001F2D25" w:rsidRDefault="007D0B9F"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CD4DF16">
                      <wp:simplePos x="0" y="0"/>
                      <wp:positionH relativeFrom="column">
                        <wp:posOffset>3486727</wp:posOffset>
                      </wp:positionH>
                      <wp:positionV relativeFrom="paragraph">
                        <wp:posOffset>152078</wp:posOffset>
                      </wp:positionV>
                      <wp:extent cx="313899" cy="180550"/>
                      <wp:effectExtent l="0" t="0" r="10160" b="10160"/>
                      <wp:wrapNone/>
                      <wp:docPr id="5" name="Rectángulo 5"/>
                      <wp:cNvGraphicFramePr/>
                      <a:graphic xmlns:a="http://schemas.openxmlformats.org/drawingml/2006/main">
                        <a:graphicData uri="http://schemas.microsoft.com/office/word/2010/wordprocessingShape">
                          <wps:wsp>
                            <wps:cNvSpPr/>
                            <wps:spPr>
                              <a:xfrm>
                                <a:off x="0" y="0"/>
                                <a:ext cx="313899"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A7E54" id="Rectángulo 5" o:spid="_x0000_s1026" style="position:absolute;margin-left:274.55pt;margin-top:11.95pt;width:24.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7496EAF2">
                      <wp:simplePos x="0" y="0"/>
                      <wp:positionH relativeFrom="column">
                        <wp:posOffset>1023307</wp:posOffset>
                      </wp:positionH>
                      <wp:positionV relativeFrom="paragraph">
                        <wp:posOffset>173316</wp:posOffset>
                      </wp:positionV>
                      <wp:extent cx="368490" cy="279779"/>
                      <wp:effectExtent l="0" t="0" r="12700" b="25400"/>
                      <wp:wrapNone/>
                      <wp:docPr id="18" name="Rectángulo 18"/>
                      <wp:cNvGraphicFramePr/>
                      <a:graphic xmlns:a="http://schemas.openxmlformats.org/drawingml/2006/main">
                        <a:graphicData uri="http://schemas.microsoft.com/office/word/2010/wordprocessingShape">
                          <wps:wsp>
                            <wps:cNvSpPr/>
                            <wps:spPr>
                              <a:xfrm>
                                <a:off x="0" y="0"/>
                                <a:ext cx="368490" cy="279779"/>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119BE8" w14:textId="0B4ADF33" w:rsidR="00996AB2" w:rsidRPr="00996AB2" w:rsidRDefault="00996AB2" w:rsidP="00996AB2">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6" style="position:absolute;left:0;text-align:left;margin-left:80.6pt;margin-top:13.65pt;width:29pt;height:2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" fillcolor="white [3201]" strokecolor="#70ad47 [3209]" strokeweight="1pt">
                      <v:textbox>
                        <w:txbxContent>
                          <w:p w14:paraId="2E119BE8" w14:textId="0B4ADF33" w:rsidR="00996AB2" w:rsidRPr="00996AB2" w:rsidRDefault="00996AB2" w:rsidP="00996AB2">
                            <w:pPr>
                              <w:jc w:val="center"/>
                              <w:rPr>
                                <w:lang w:val="es-MX"/>
                              </w:rPr>
                            </w:pPr>
                            <w:r>
                              <w:rPr>
                                <w:lang w:val="es-MX"/>
                              </w:rP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0B34EE2E" w:rsidR="00407892"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08A22006" w14:textId="2E50FE93" w:rsidR="00F24EB4" w:rsidRDefault="00F24EB4" w:rsidP="00F24EB4">
            <w:pPr>
              <w:pStyle w:val="Sinespaciado"/>
              <w:ind w:left="720"/>
              <w:jc w:val="both"/>
              <w:rPr>
                <w:rFonts w:ascii="Arial" w:eastAsia="Calibri" w:hAnsi="Arial" w:cs="Arial"/>
                <w:lang w:val="es-MX"/>
              </w:rPr>
            </w:pPr>
          </w:p>
          <w:p w14:paraId="74431C86" w14:textId="78AF7829" w:rsidR="00F24EB4" w:rsidRPr="00F24EB4" w:rsidRDefault="00F24EB4" w:rsidP="00F24EB4">
            <w:pPr>
              <w:pStyle w:val="Sinespaciado"/>
              <w:jc w:val="both"/>
              <w:rPr>
                <w:rFonts w:ascii="Bookman Old Style" w:hAnsi="Bookman Old Style"/>
                <w:i/>
              </w:rPr>
            </w:pPr>
            <w:r w:rsidRPr="00F24EB4">
              <w:rPr>
                <w:rFonts w:ascii="Bookman Old Style" w:hAnsi="Bookman Old Style"/>
                <w:i/>
              </w:rPr>
              <w:t>Se c</w:t>
            </w:r>
            <w:r w:rsidRPr="00F24EB4">
              <w:rPr>
                <w:rFonts w:ascii="Bookman Old Style" w:hAnsi="Bookman Old Style"/>
                <w:i/>
              </w:rPr>
              <w:t>onsidera que las pruebas solicitadas no resultan pertinentes ni conducentes, de acuerdo con lo expuesto en el artículo 168 del C.G.P. aplicable por disposición del artículo 211 del CPACA, en la medida que no son idóneas para resolver el objeto del litigio, el cual se relaciona con la falta de notificación del comparendo – lo cual solo es acreditable mediante prueba documental –. En consecuencia, atendiendo a que las pruebas solicitadas por la parte demandada y del llamado en garantía Seguros del Estado S.A. resultan impertinentes e inconducentes para resolver el objeto del litigio y que el presente asunto no requiere práctica de pruebas adicionales a las aportadas por las partes, se dará aplicación a lo dispuesto por el artículo 182A de la Ley 1437 de 2011 (Sentencia Anticipada)</w:t>
            </w:r>
          </w:p>
          <w:p w14:paraId="7EA1C855" w14:textId="77777777" w:rsidR="00F24EB4" w:rsidRPr="001F2D25" w:rsidRDefault="00F24EB4" w:rsidP="00F24EB4">
            <w:pPr>
              <w:pStyle w:val="Sinespaciado"/>
              <w:jc w:val="both"/>
              <w:rPr>
                <w:rFonts w:ascii="Arial" w:eastAsia="Calibri" w:hAnsi="Arial" w:cs="Arial"/>
                <w:lang w:val="es-MX"/>
              </w:rPr>
            </w:pP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377BFB8A" w14:textId="12731BCC" w:rsidR="007D0B9F" w:rsidRDefault="007D0B9F" w:rsidP="00D75A67">
            <w:pPr>
              <w:pStyle w:val="Sinespaciado"/>
              <w:jc w:val="both"/>
              <w:rPr>
                <w:rFonts w:ascii="Arial" w:eastAsia="Calibri" w:hAnsi="Arial" w:cs="Arial"/>
                <w:lang w:val="es-MX"/>
              </w:rPr>
            </w:pPr>
          </w:p>
          <w:p w14:paraId="7F3A6087" w14:textId="7D9C3E4D" w:rsidR="007D0B9F" w:rsidRPr="00F24EB4" w:rsidRDefault="007D0B9F" w:rsidP="00D75A67">
            <w:pPr>
              <w:pStyle w:val="Sinespaciado"/>
              <w:jc w:val="both"/>
              <w:rPr>
                <w:rFonts w:ascii="Bookman Old Style" w:eastAsia="Calibri" w:hAnsi="Bookman Old Style" w:cs="Arial"/>
                <w:i/>
                <w:lang w:val="es-MX"/>
              </w:rPr>
            </w:pPr>
            <w:r w:rsidRPr="00F24EB4">
              <w:rPr>
                <w:rFonts w:ascii="Bookman Old Style" w:hAnsi="Bookman Old Style"/>
                <w:i/>
              </w:rPr>
              <w:t>T</w:t>
            </w:r>
            <w:r w:rsidRPr="00F24EB4">
              <w:rPr>
                <w:rFonts w:ascii="Bookman Old Style" w:hAnsi="Bookman Old Style"/>
                <w:i/>
              </w:rPr>
              <w:t>omando como base los hechos, pretensiones y fundamentos de la demanda, así como la contestación oportunamente presentada por la parte accionada, se considera que el litigio en este asunto consiste en determinar la legalidad del acto administrativo contenido en la Resolución Sanción 000064551 del 04 de marzo de 2016 basado en el Comparendo No. 68276000000011966308 del 30 de diciembre de 2015, de acuerdo con las causales de nulidad propuestas en la demanda.</w:t>
            </w:r>
          </w:p>
          <w:p w14:paraId="76BFFA3D" w14:textId="77777777" w:rsidR="007D0B9F" w:rsidRPr="001F2D25" w:rsidRDefault="007D0B9F"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4514D777" w:rsidR="00D75A67"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4B9ACE6A" w14:textId="3BE5F332" w:rsidR="00505994" w:rsidRDefault="00505994" w:rsidP="00505994">
            <w:pPr>
              <w:pStyle w:val="Sinespaciado"/>
              <w:jc w:val="both"/>
              <w:rPr>
                <w:rFonts w:ascii="Arial" w:eastAsia="Calibri" w:hAnsi="Arial" w:cs="Arial"/>
                <w:lang w:val="es-MX"/>
              </w:rPr>
            </w:pPr>
          </w:p>
          <w:p w14:paraId="7FAFA37F" w14:textId="444C624F" w:rsidR="00505994" w:rsidRPr="00505994" w:rsidRDefault="00505994" w:rsidP="00505994">
            <w:pPr>
              <w:pStyle w:val="Sinespaciado"/>
              <w:jc w:val="both"/>
              <w:rPr>
                <w:rFonts w:ascii="Bookman Old Style" w:eastAsia="Calibri" w:hAnsi="Bookman Old Style" w:cs="Arial"/>
                <w:i/>
                <w:lang w:val="es-MX"/>
              </w:rPr>
            </w:pPr>
            <w:r w:rsidRPr="00505994">
              <w:rPr>
                <w:rFonts w:ascii="Bookman Old Style" w:hAnsi="Bookman Old Style"/>
                <w:i/>
              </w:rPr>
              <w:t xml:space="preserve">Se corre traslado </w:t>
            </w:r>
            <w:r w:rsidRPr="00505994">
              <w:rPr>
                <w:rFonts w:ascii="Bookman Old Style" w:hAnsi="Bookman Old Style"/>
                <w:i/>
              </w:rPr>
              <w:t>a las partes, por el término de DIEZ (10) DÍAS, para que procedan a presentar alegatos de conclusión. El mismo término se concede al Ministerio Público para que rinda concepto de fondo, si a bien lo tiene</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w:t>
            </w:r>
            <w:r w:rsidRPr="001F2D25">
              <w:rPr>
                <w:rFonts w:ascii="Arial" w:eastAsia="Calibri" w:hAnsi="Arial" w:cs="Arial"/>
                <w:i/>
                <w:sz w:val="18"/>
                <w:szCs w:val="18"/>
                <w:lang w:val="es-MX"/>
              </w:rPr>
              <w:lastRenderedPageBreak/>
              <w:t>–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63F7C" w14:textId="77777777" w:rsidR="00A37660" w:rsidRDefault="00A37660">
      <w:pPr>
        <w:spacing w:after="0" w:line="240" w:lineRule="auto"/>
      </w:pPr>
      <w:r>
        <w:separator/>
      </w:r>
    </w:p>
  </w:endnote>
  <w:endnote w:type="continuationSeparator" w:id="0">
    <w:p w14:paraId="366F2112" w14:textId="77777777" w:rsidR="00A37660" w:rsidRDefault="00A37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0AB5C28B" w:rsidR="00224C42" w:rsidRDefault="00F57547">
        <w:pPr>
          <w:pStyle w:val="Piedepgina"/>
          <w:jc w:val="right"/>
        </w:pPr>
        <w:r>
          <w:fldChar w:fldCharType="begin"/>
        </w:r>
        <w:r>
          <w:instrText>PAGE   \* MERGEFORMAT</w:instrText>
        </w:r>
        <w:r>
          <w:fldChar w:fldCharType="separate"/>
        </w:r>
        <w:r w:rsidR="00505994" w:rsidRPr="00505994">
          <w:rPr>
            <w:noProof/>
            <w:lang w:val="es-ES"/>
          </w:rPr>
          <w:t>4</w:t>
        </w:r>
        <w:r>
          <w:fldChar w:fldCharType="end"/>
        </w:r>
      </w:p>
    </w:sdtContent>
  </w:sdt>
  <w:p w14:paraId="2521E8EB" w14:textId="77777777" w:rsidR="00224C42" w:rsidRDefault="00A3766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18D2E50C" w:rsidR="00224C42" w:rsidRDefault="00F57547">
        <w:pPr>
          <w:pStyle w:val="Piedepgina"/>
          <w:jc w:val="right"/>
        </w:pPr>
        <w:r>
          <w:fldChar w:fldCharType="begin"/>
        </w:r>
        <w:r>
          <w:instrText>PAGE   \* MERGEFORMAT</w:instrText>
        </w:r>
        <w:r>
          <w:fldChar w:fldCharType="separate"/>
        </w:r>
        <w:r w:rsidR="00505994" w:rsidRPr="00505994">
          <w:rPr>
            <w:noProof/>
            <w:lang w:val="es-ES"/>
          </w:rPr>
          <w:t>1</w:t>
        </w:r>
        <w:r>
          <w:fldChar w:fldCharType="end"/>
        </w:r>
      </w:p>
    </w:sdtContent>
  </w:sdt>
  <w:p w14:paraId="60134C65" w14:textId="77777777" w:rsidR="00224C42" w:rsidRDefault="00A3766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D182D" w14:textId="77777777" w:rsidR="00A37660" w:rsidRDefault="00A37660">
      <w:pPr>
        <w:spacing w:after="0" w:line="240" w:lineRule="auto"/>
      </w:pPr>
      <w:r>
        <w:separator/>
      </w:r>
    </w:p>
  </w:footnote>
  <w:footnote w:type="continuationSeparator" w:id="0">
    <w:p w14:paraId="5C0DC440" w14:textId="77777777" w:rsidR="00A37660" w:rsidRDefault="00A37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4F04ED"/>
    <w:rsid w:val="00505994"/>
    <w:rsid w:val="00532C33"/>
    <w:rsid w:val="00565605"/>
    <w:rsid w:val="00591BD3"/>
    <w:rsid w:val="005B3ECD"/>
    <w:rsid w:val="005C690E"/>
    <w:rsid w:val="005D343D"/>
    <w:rsid w:val="006E320B"/>
    <w:rsid w:val="00764314"/>
    <w:rsid w:val="007D0B9F"/>
    <w:rsid w:val="007D59E3"/>
    <w:rsid w:val="00823B31"/>
    <w:rsid w:val="0083707C"/>
    <w:rsid w:val="00857522"/>
    <w:rsid w:val="00926ADA"/>
    <w:rsid w:val="00965363"/>
    <w:rsid w:val="0096597C"/>
    <w:rsid w:val="00996AB2"/>
    <w:rsid w:val="009E3199"/>
    <w:rsid w:val="00A37660"/>
    <w:rsid w:val="00A461DF"/>
    <w:rsid w:val="00A62E46"/>
    <w:rsid w:val="00B47DA4"/>
    <w:rsid w:val="00B713D2"/>
    <w:rsid w:val="00C23182"/>
    <w:rsid w:val="00C43096"/>
    <w:rsid w:val="00C53F95"/>
    <w:rsid w:val="00C5649B"/>
    <w:rsid w:val="00C71135"/>
    <w:rsid w:val="00CC64F1"/>
    <w:rsid w:val="00CF03D9"/>
    <w:rsid w:val="00D111DA"/>
    <w:rsid w:val="00D1513B"/>
    <w:rsid w:val="00D747D0"/>
    <w:rsid w:val="00D75A67"/>
    <w:rsid w:val="00DB38E3"/>
    <w:rsid w:val="00DC796E"/>
    <w:rsid w:val="00DE6DCB"/>
    <w:rsid w:val="00E031FD"/>
    <w:rsid w:val="00E03626"/>
    <w:rsid w:val="00E26EED"/>
    <w:rsid w:val="00E377AA"/>
    <w:rsid w:val="00E42B7C"/>
    <w:rsid w:val="00E61BDD"/>
    <w:rsid w:val="00E93701"/>
    <w:rsid w:val="00EB3514"/>
    <w:rsid w:val="00ED4ECD"/>
    <w:rsid w:val="00EE219B"/>
    <w:rsid w:val="00F24EB4"/>
    <w:rsid w:val="00F54B23"/>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A9860-F959-4AE5-942B-29AECF71B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1150</Words>
  <Characters>6557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Ibeth Dayana Guerra Fajardo</cp:lastModifiedBy>
  <cp:revision>4</cp:revision>
  <dcterms:created xsi:type="dcterms:W3CDTF">2021-09-06T03:15:00Z</dcterms:created>
  <dcterms:modified xsi:type="dcterms:W3CDTF">2021-09-06T03:33:00Z</dcterms:modified>
</cp:coreProperties>
</file>