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D9525" w14:textId="77777777" w:rsidR="00BC0560" w:rsidRPr="00677630" w:rsidRDefault="00BC0560" w:rsidP="00BC0560">
      <w:pPr>
        <w:spacing w:after="0" w:line="240" w:lineRule="auto"/>
        <w:jc w:val="center"/>
        <w:rPr>
          <w:rFonts w:ascii="Times New Roman" w:eastAsia="Times New Roman" w:hAnsi="Times New Roman" w:cs="Times New Roman"/>
          <w:sz w:val="24"/>
          <w:szCs w:val="24"/>
          <w:lang w:eastAsia="es-CO"/>
        </w:rPr>
      </w:pPr>
      <w:r w:rsidRPr="00677630">
        <w:rPr>
          <w:rFonts w:ascii="Arial" w:eastAsia="Times New Roman" w:hAnsi="Arial" w:cs="Arial"/>
          <w:b/>
          <w:bCs/>
          <w:lang w:eastAsia="es-CO"/>
        </w:rPr>
        <w:t>ESCUELA JUDICIAL RODRIGO LARA BONILLA</w:t>
      </w:r>
    </w:p>
    <w:p w14:paraId="183F8C0D" w14:textId="77777777" w:rsidR="00BC0560" w:rsidRPr="00677630" w:rsidRDefault="00BC0560" w:rsidP="00BC0560">
      <w:pPr>
        <w:spacing w:after="0" w:line="240" w:lineRule="auto"/>
        <w:jc w:val="center"/>
        <w:rPr>
          <w:rFonts w:ascii="Times New Roman" w:eastAsia="Times New Roman" w:hAnsi="Times New Roman" w:cs="Times New Roman"/>
          <w:sz w:val="24"/>
          <w:szCs w:val="24"/>
          <w:lang w:eastAsia="es-CO"/>
        </w:rPr>
      </w:pPr>
      <w:r w:rsidRPr="00677630">
        <w:rPr>
          <w:rFonts w:ascii="Arial" w:eastAsia="Times New Roman" w:hAnsi="Arial" w:cs="Arial"/>
          <w:b/>
          <w:bCs/>
          <w:lang w:eastAsia="es-CO"/>
        </w:rPr>
        <w:t>LISTA DE CHEQUEO – ADOPCIÓN DE MEDIDAS PARA DICTAR SENTENCIA ANTICIPADA </w:t>
      </w:r>
    </w:p>
    <w:p w14:paraId="58EC9FDE"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08BDFCFD" w14:textId="77777777" w:rsidR="00BC0560" w:rsidRPr="0067763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b/>
          <w:bCs/>
          <w:lang w:eastAsia="es-CO"/>
        </w:rPr>
        <w:t>DISPOSICIONES A APLICAR </w:t>
      </w:r>
    </w:p>
    <w:p w14:paraId="7B9F3A9E" w14:textId="77777777" w:rsidR="00BC0560" w:rsidRPr="0067763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t> </w:t>
      </w:r>
    </w:p>
    <w:p w14:paraId="2698AEE5" w14:textId="77777777" w:rsidR="00BC0560" w:rsidRPr="0067763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Artículo 38 L. 2080 de 2021 (Parágrafo 2° del artículo 175 del CPACA)</w:t>
      </w:r>
    </w:p>
    <w:p w14:paraId="4A7A4575" w14:textId="77777777" w:rsidR="00BC0560" w:rsidRPr="0067763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Artículo 42 L. 2080 de 2021 (adiciona 182A al CPACA)</w:t>
      </w:r>
    </w:p>
    <w:p w14:paraId="4FC7712B"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157F6654" w14:textId="6CC45651" w:rsidR="005C0A2C" w:rsidRPr="00677630" w:rsidRDefault="009132E2" w:rsidP="007E2831">
      <w:pPr>
        <w:pStyle w:val="Sinespaciado"/>
        <w:ind w:left="-1134" w:firstLine="1134"/>
        <w:rPr>
          <w:rFonts w:ascii="Tahoma" w:eastAsia="Calibri" w:hAnsi="Tahoma" w:cs="Tahoma"/>
          <w:sz w:val="24"/>
          <w:szCs w:val="24"/>
          <w:lang w:val="es-MX"/>
        </w:rPr>
      </w:pPr>
      <w:r w:rsidRPr="00677630">
        <w:rPr>
          <w:rFonts w:ascii="Tahoma" w:eastAsia="Calibri" w:hAnsi="Tahoma" w:cs="Tahoma"/>
          <w:sz w:val="24"/>
          <w:szCs w:val="24"/>
          <w:lang w:val="es-MX"/>
        </w:rPr>
        <w:t xml:space="preserve">Elaborada por: </w:t>
      </w:r>
      <w:r w:rsidR="007E2831" w:rsidRPr="00677630">
        <w:rPr>
          <w:rFonts w:ascii="Tahoma" w:eastAsia="Calibri" w:hAnsi="Tahoma" w:cs="Tahoma"/>
          <w:sz w:val="24"/>
          <w:szCs w:val="24"/>
          <w:lang w:val="es-MX"/>
        </w:rPr>
        <w:t>Hair Enrique Montenegro Ramírez</w:t>
      </w:r>
      <w:r w:rsidR="005C0A2C" w:rsidRPr="00677630">
        <w:rPr>
          <w:rFonts w:ascii="Tahoma" w:eastAsia="Calibri" w:hAnsi="Tahoma" w:cs="Tahoma"/>
          <w:sz w:val="24"/>
          <w:szCs w:val="24"/>
          <w:lang w:val="es-MX"/>
        </w:rPr>
        <w:t xml:space="preserve"> </w:t>
      </w:r>
    </w:p>
    <w:p w14:paraId="02441624" w14:textId="46EAFAB6" w:rsidR="009132E2" w:rsidRPr="00677630" w:rsidRDefault="009132E2" w:rsidP="007E2831">
      <w:pPr>
        <w:pStyle w:val="Sinespaciado"/>
        <w:ind w:left="-1134" w:firstLine="1134"/>
        <w:rPr>
          <w:rFonts w:ascii="Tahoma" w:hAnsi="Tahoma" w:cs="Tahoma"/>
          <w:sz w:val="24"/>
          <w:szCs w:val="24"/>
          <w:lang w:val="es-MX"/>
        </w:rPr>
      </w:pPr>
      <w:r w:rsidRPr="00677630">
        <w:rPr>
          <w:rFonts w:ascii="Tahoma" w:hAnsi="Tahoma" w:cs="Tahoma"/>
          <w:sz w:val="24"/>
          <w:szCs w:val="24"/>
          <w:lang w:val="es-MX"/>
        </w:rPr>
        <w:t xml:space="preserve">Fecha:   </w:t>
      </w:r>
      <w:r w:rsidR="005C0A2C" w:rsidRPr="00677630">
        <w:rPr>
          <w:rFonts w:ascii="Tahoma" w:hAnsi="Tahoma" w:cs="Tahoma"/>
          <w:sz w:val="24"/>
          <w:szCs w:val="24"/>
          <w:lang w:val="es-MX"/>
        </w:rPr>
        <w:t xml:space="preserve">05 de septiembre de 2021   </w:t>
      </w:r>
    </w:p>
    <w:p w14:paraId="09122671" w14:textId="77777777" w:rsidR="009132E2" w:rsidRPr="00677630" w:rsidRDefault="009132E2" w:rsidP="007E2831">
      <w:pPr>
        <w:pStyle w:val="Sinespaciado"/>
        <w:ind w:left="-1134" w:firstLine="1134"/>
        <w:rPr>
          <w:rFonts w:ascii="Tahoma" w:hAnsi="Tahoma" w:cs="Tahoma"/>
          <w:sz w:val="24"/>
          <w:szCs w:val="24"/>
          <w:lang w:val="es-MX"/>
        </w:rPr>
      </w:pPr>
      <w:r w:rsidRPr="00677630">
        <w:rPr>
          <w:rFonts w:ascii="Tahoma" w:hAnsi="Tahoma" w:cs="Tahoma"/>
          <w:sz w:val="24"/>
          <w:szCs w:val="24"/>
          <w:lang w:val="es-MX"/>
        </w:rPr>
        <w:t>Medio de control: Nulidad y restablecimiento del derecho</w:t>
      </w:r>
    </w:p>
    <w:p w14:paraId="18597BD9" w14:textId="19C12DF2" w:rsidR="009132E2" w:rsidRPr="00677630" w:rsidRDefault="009132E2" w:rsidP="007E2831">
      <w:pPr>
        <w:pStyle w:val="Sinespaciado"/>
        <w:ind w:left="-1134" w:firstLine="1134"/>
        <w:rPr>
          <w:rFonts w:ascii="Tahoma" w:hAnsi="Tahoma" w:cs="Tahoma"/>
          <w:sz w:val="24"/>
          <w:szCs w:val="24"/>
          <w:lang w:val="es-MX"/>
        </w:rPr>
      </w:pPr>
      <w:r w:rsidRPr="00677630">
        <w:rPr>
          <w:rFonts w:ascii="Tahoma" w:hAnsi="Tahoma" w:cs="Tahoma"/>
          <w:sz w:val="24"/>
          <w:szCs w:val="24"/>
          <w:lang w:val="es-MX"/>
        </w:rPr>
        <w:t>Demandante:</w:t>
      </w:r>
      <w:r w:rsidR="005C0A2C" w:rsidRPr="00677630">
        <w:t xml:space="preserve"> </w:t>
      </w:r>
      <w:r w:rsidR="007E2831" w:rsidRPr="00677630">
        <w:rPr>
          <w:rFonts w:ascii="Tahoma" w:hAnsi="Tahoma" w:cs="Tahoma"/>
          <w:sz w:val="24"/>
          <w:szCs w:val="24"/>
          <w:lang w:val="es-MX"/>
        </w:rPr>
        <w:t>Myriam Olaya Rodríguez</w:t>
      </w:r>
    </w:p>
    <w:p w14:paraId="3BF0E02E" w14:textId="1DE4F077" w:rsidR="009132E2" w:rsidRPr="00677630" w:rsidRDefault="009132E2" w:rsidP="007E2831">
      <w:pPr>
        <w:pStyle w:val="Sinespaciado"/>
        <w:ind w:left="-1134" w:firstLine="1134"/>
        <w:rPr>
          <w:rFonts w:ascii="Tahoma" w:hAnsi="Tahoma" w:cs="Tahoma"/>
          <w:sz w:val="24"/>
          <w:szCs w:val="24"/>
          <w:lang w:val="es-MX"/>
        </w:rPr>
      </w:pPr>
      <w:r w:rsidRPr="00677630">
        <w:rPr>
          <w:rFonts w:ascii="Tahoma" w:hAnsi="Tahoma" w:cs="Tahoma"/>
          <w:sz w:val="24"/>
          <w:szCs w:val="24"/>
          <w:lang w:val="es-MX"/>
        </w:rPr>
        <w:t xml:space="preserve">Demandado: </w:t>
      </w:r>
      <w:r w:rsidR="005C0A2C" w:rsidRPr="00677630">
        <w:rPr>
          <w:rFonts w:ascii="Tahoma" w:hAnsi="Tahoma" w:cs="Tahoma"/>
          <w:sz w:val="24"/>
          <w:szCs w:val="24"/>
          <w:lang w:val="es-MX"/>
        </w:rPr>
        <w:t>Fiscalía General de la Nación</w:t>
      </w:r>
    </w:p>
    <w:p w14:paraId="22D523AF" w14:textId="565F80AF" w:rsidR="009132E2" w:rsidRPr="00677630" w:rsidRDefault="009132E2" w:rsidP="007E2831">
      <w:pPr>
        <w:pStyle w:val="Sinespaciado"/>
        <w:ind w:left="-1134" w:firstLine="1134"/>
        <w:rPr>
          <w:rFonts w:ascii="Tahoma" w:hAnsi="Tahoma" w:cs="Tahoma"/>
          <w:sz w:val="24"/>
          <w:szCs w:val="24"/>
          <w:lang w:val="es-MX"/>
        </w:rPr>
      </w:pPr>
      <w:r w:rsidRPr="00677630">
        <w:rPr>
          <w:rFonts w:ascii="Tahoma" w:hAnsi="Tahoma" w:cs="Tahoma"/>
          <w:sz w:val="24"/>
          <w:szCs w:val="24"/>
          <w:lang w:val="es-MX"/>
        </w:rPr>
        <w:t xml:space="preserve">Radicado. </w:t>
      </w:r>
      <w:r w:rsidR="007E2831" w:rsidRPr="00677630">
        <w:rPr>
          <w:rFonts w:ascii="Tahoma" w:hAnsi="Tahoma" w:cs="Tahoma"/>
          <w:sz w:val="24"/>
          <w:szCs w:val="24"/>
          <w:lang w:val="es-MX"/>
        </w:rPr>
        <w:t>11001333501120190007000</w:t>
      </w:r>
    </w:p>
    <w:p w14:paraId="65C6BFFF" w14:textId="77777777" w:rsidR="00BC0560" w:rsidRPr="0067763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677630" w:rsidRPr="00677630" w14:paraId="0C16F44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08829" w14:textId="77777777" w:rsidR="00BC0560" w:rsidRPr="00677630" w:rsidRDefault="00BC0560" w:rsidP="00BC0560">
            <w:pPr>
              <w:spacing w:after="0" w:line="240" w:lineRule="auto"/>
              <w:ind w:left="27"/>
              <w:rPr>
                <w:rFonts w:ascii="Times New Roman" w:eastAsia="Times New Roman" w:hAnsi="Times New Roman" w:cs="Times New Roman"/>
                <w:sz w:val="24"/>
                <w:szCs w:val="24"/>
                <w:lang w:eastAsia="es-CO"/>
              </w:rPr>
            </w:pPr>
            <w:r w:rsidRPr="00677630">
              <w:rPr>
                <w:rFonts w:ascii="Arial" w:eastAsia="Times New Roman" w:hAnsi="Arial" w:cs="Arial"/>
                <w:b/>
                <w:bCs/>
                <w:lang w:eastAsia="es-CO"/>
              </w:rPr>
              <w:t>VERIFICACIÓN DE REGLAS PROCESALES PARA EMISIÓN DE SENTENCIA ANTICIPADA</w:t>
            </w:r>
          </w:p>
          <w:p w14:paraId="39343D4D"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2420737D" w14:textId="77777777" w:rsidR="00BC0560" w:rsidRPr="00677630" w:rsidRDefault="00BC0560" w:rsidP="00BC0560">
            <w:pPr>
              <w:spacing w:after="0" w:line="240" w:lineRule="auto"/>
              <w:jc w:val="both"/>
              <w:rPr>
                <w:rFonts w:ascii="Times New Roman" w:eastAsia="Times New Roman" w:hAnsi="Times New Roman" w:cs="Times New Roman"/>
                <w:sz w:val="24"/>
                <w:szCs w:val="24"/>
                <w:lang w:eastAsia="es-CO"/>
              </w:rPr>
            </w:pPr>
            <w:r w:rsidRPr="00677630">
              <w:rPr>
                <w:rFonts w:ascii="Arial" w:eastAsia="Times New Roman" w:hAnsi="Arial" w:cs="Arial"/>
                <w:lang w:eastAsia="es-CO"/>
              </w:rPr>
              <w:t>Verifique que el término de traslado de la demanda se encuentra vencido y que no hay excepciones previas que resolver o no se advierta el incumplimiento de requisitos de procedibilidad.</w:t>
            </w:r>
          </w:p>
          <w:p w14:paraId="0BFB44F3"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4190DD24"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(Arts. 172, 175, 199 del CPACA)</w:t>
            </w:r>
          </w:p>
          <w:p w14:paraId="6D809720" w14:textId="77777777" w:rsidR="00BC0560" w:rsidRPr="00677630" w:rsidRDefault="00BC0560" w:rsidP="00BC0560">
            <w:pPr>
              <w:spacing w:after="240" w:line="240" w:lineRule="auto"/>
              <w:rPr>
                <w:rFonts w:ascii="Times New Roman" w:eastAsia="Times New Roman" w:hAnsi="Times New Roman" w:cs="Times New Roman"/>
                <w:sz w:val="24"/>
                <w:szCs w:val="24"/>
                <w:lang w:eastAsia="es-CO"/>
              </w:rPr>
            </w:pPr>
          </w:p>
          <w:p w14:paraId="793299C9" w14:textId="792DC3E9" w:rsidR="00B530D5" w:rsidRPr="00677630" w:rsidRDefault="00B530D5" w:rsidP="00BC0560">
            <w:pPr>
              <w:spacing w:after="240" w:line="240" w:lineRule="auto"/>
              <w:rPr>
                <w:rFonts w:ascii="Times New Roman" w:eastAsia="Times New Roman" w:hAnsi="Times New Roman" w:cs="Times New Roman"/>
                <w:b/>
                <w:sz w:val="24"/>
                <w:szCs w:val="24"/>
                <w:lang w:eastAsia="es-CO"/>
              </w:rPr>
            </w:pPr>
            <w:r w:rsidRPr="00677630">
              <w:rPr>
                <w:rFonts w:ascii="Times New Roman" w:eastAsia="Times New Roman" w:hAnsi="Times New Roman" w:cs="Times New Roman"/>
                <w:sz w:val="24"/>
                <w:szCs w:val="24"/>
                <w:lang w:eastAsia="es-CO"/>
              </w:rPr>
              <w:t>R</w:t>
            </w:r>
            <w:r w:rsidRPr="00677630">
              <w:rPr>
                <w:rFonts w:ascii="Times New Roman" w:eastAsia="Times New Roman" w:hAnsi="Times New Roman" w:cs="Times New Roman"/>
                <w:b/>
                <w:sz w:val="24"/>
                <w:szCs w:val="24"/>
                <w:lang w:eastAsia="es-CO"/>
              </w:rPr>
              <w:t xml:space="preserve">// </w:t>
            </w:r>
            <w:r w:rsidR="005C0A2C" w:rsidRPr="00677630">
              <w:rPr>
                <w:rFonts w:ascii="Times New Roman" w:eastAsia="Times New Roman" w:hAnsi="Times New Roman" w:cs="Times New Roman"/>
                <w:b/>
                <w:sz w:val="24"/>
                <w:szCs w:val="24"/>
                <w:lang w:eastAsia="es-CO"/>
              </w:rPr>
              <w:t xml:space="preserve">Vencido el término del traslado de las excepciones, ingresa el expediente sin que se evidencien excepciones previas. </w:t>
            </w:r>
          </w:p>
          <w:p w14:paraId="2542BB44" w14:textId="77777777" w:rsidR="00BC0560" w:rsidRPr="00677630" w:rsidRDefault="00BC0560" w:rsidP="00BC0560">
            <w:pPr>
              <w:spacing w:after="0" w:line="240" w:lineRule="auto"/>
              <w:jc w:val="both"/>
              <w:rPr>
                <w:rFonts w:ascii="Times New Roman" w:eastAsia="Times New Roman" w:hAnsi="Times New Roman" w:cs="Times New Roman"/>
                <w:sz w:val="24"/>
                <w:szCs w:val="24"/>
                <w:lang w:eastAsia="es-CO"/>
              </w:rPr>
            </w:pPr>
            <w:r w:rsidRPr="00677630">
              <w:rPr>
                <w:rFonts w:ascii="Arial" w:eastAsia="Times New Roman" w:hAnsi="Arial" w:cs="Arial"/>
                <w:b/>
                <w:bCs/>
                <w:i/>
                <w:iCs/>
                <w:sz w:val="18"/>
                <w:szCs w:val="18"/>
                <w:lang w:eastAsia="es-CO"/>
              </w:rPr>
              <w:t>Nota:</w:t>
            </w:r>
            <w:r w:rsidRPr="00677630">
              <w:rPr>
                <w:rFonts w:ascii="Arial" w:eastAsia="Times New Roman" w:hAnsi="Arial" w:cs="Arial"/>
                <w:i/>
                <w:iCs/>
                <w:lang w:eastAsia="es-CO"/>
              </w:rPr>
              <w:t xml:space="preserve"> </w:t>
            </w:r>
            <w:r w:rsidRPr="00677630">
              <w:rPr>
                <w:rFonts w:ascii="Arial" w:eastAsia="Times New Roman" w:hAnsi="Arial" w:cs="Arial"/>
                <w:i/>
                <w:iCs/>
                <w:sz w:val="18"/>
                <w:szCs w:val="18"/>
                <w:lang w:eastAsia="es-CO"/>
              </w:rPr>
              <w:t>para posibilitar que se pueda proferir sentencia anticipada, es necesario agotar de manera previa varios trámites dispuestos en el artículo 182A, esto es, las medidas que se señalan a continuación</w:t>
            </w:r>
            <w:r w:rsidRPr="00677630">
              <w:rPr>
                <w:rFonts w:ascii="Arial" w:eastAsia="Times New Roman" w:hAnsi="Arial" w:cs="Arial"/>
                <w:i/>
                <w:iCs/>
                <w:lang w:eastAsia="es-CO"/>
              </w:rPr>
              <w:t>. </w:t>
            </w:r>
          </w:p>
        </w:tc>
      </w:tr>
      <w:tr w:rsidR="00677630" w:rsidRPr="00677630" w14:paraId="30C7045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6E438" w14:textId="77777777" w:rsidR="00BC0560" w:rsidRPr="00677630" w:rsidRDefault="00BC0560" w:rsidP="00BC0560">
            <w:pPr>
              <w:numPr>
                <w:ilvl w:val="0"/>
                <w:numId w:val="1"/>
              </w:numPr>
              <w:spacing w:after="0" w:line="240" w:lineRule="auto"/>
              <w:ind w:left="387"/>
              <w:textAlignment w:val="baseline"/>
              <w:rPr>
                <w:rFonts w:ascii="Arial" w:eastAsia="Times New Roman" w:hAnsi="Arial" w:cs="Arial"/>
                <w:b/>
                <w:bCs/>
                <w:lang w:eastAsia="es-CO"/>
              </w:rPr>
            </w:pPr>
            <w:r w:rsidRPr="00677630">
              <w:rPr>
                <w:rFonts w:ascii="Arial" w:eastAsia="Times New Roman" w:hAnsi="Arial" w:cs="Arial"/>
                <w:b/>
                <w:bCs/>
                <w:lang w:eastAsia="es-CO"/>
              </w:rPr>
              <w:t>SENTENCIA ANTICIPADA ANTES DE LA AUDIENCIA INICIAL </w:t>
            </w:r>
          </w:p>
          <w:p w14:paraId="088E25AB"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5047C51F"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 (Numeral 1° del artículo 182A del CPACA)</w:t>
            </w:r>
          </w:p>
          <w:p w14:paraId="6C621259"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0966C33E" w14:textId="008A525D" w:rsidR="00BC0560" w:rsidRPr="00677630" w:rsidRDefault="00BC0560" w:rsidP="00BC0560">
            <w:pPr>
              <w:spacing w:after="0" w:line="240" w:lineRule="auto"/>
              <w:ind w:left="708"/>
              <w:jc w:val="both"/>
              <w:rPr>
                <w:rFonts w:ascii="Times New Roman" w:eastAsia="Times New Roman" w:hAnsi="Times New Roman" w:cs="Times New Roman"/>
                <w:sz w:val="24"/>
                <w:szCs w:val="24"/>
                <w:lang w:eastAsia="es-CO"/>
              </w:rPr>
            </w:pPr>
            <w:r w:rsidRPr="00677630">
              <w:rPr>
                <w:rFonts w:ascii="Arial" w:eastAsia="Times New Roman" w:hAnsi="Arial" w:cs="Arial"/>
                <w:b/>
                <w:bCs/>
                <w:i/>
                <w:iCs/>
                <w:lang w:eastAsia="es-CO"/>
              </w:rPr>
              <w:t>a</w:t>
            </w:r>
            <w:r w:rsidRPr="00677630">
              <w:rPr>
                <w:rFonts w:ascii="Arial" w:eastAsia="Times New Roman" w:hAnsi="Arial" w:cs="Arial"/>
                <w:i/>
                <w:iCs/>
                <w:lang w:eastAsia="es-CO"/>
              </w:rPr>
              <w:t>) Cuando se trate de asuntos de puro derecho;</w:t>
            </w:r>
            <w:r w:rsidR="00D454B2" w:rsidRPr="00677630">
              <w:rPr>
                <w:rFonts w:ascii="Arial" w:eastAsia="Times New Roman" w:hAnsi="Arial" w:cs="Arial"/>
                <w:i/>
                <w:iCs/>
                <w:lang w:eastAsia="es-CO"/>
              </w:rPr>
              <w:t xml:space="preserve"> </w:t>
            </w:r>
            <w:r w:rsidRPr="00677630">
              <w:rPr>
                <w:rFonts w:ascii="Arial" w:eastAsia="Times New Roman" w:hAnsi="Arial" w:cs="Arial"/>
                <w:i/>
                <w:iCs/>
                <w:lang w:eastAsia="es-CO"/>
              </w:rPr>
              <w:t>_</w:t>
            </w:r>
            <w:r w:rsidR="005C0A2C" w:rsidRPr="00677630">
              <w:rPr>
                <w:rFonts w:ascii="Arial" w:eastAsia="Times New Roman" w:hAnsi="Arial" w:cs="Arial"/>
                <w:b/>
                <w:bCs/>
                <w:i/>
                <w:iCs/>
                <w:lang w:eastAsia="es-CO"/>
              </w:rPr>
              <w:t>X</w:t>
            </w:r>
            <w:r w:rsidRPr="00677630">
              <w:rPr>
                <w:rFonts w:ascii="Arial" w:eastAsia="Times New Roman" w:hAnsi="Arial" w:cs="Arial"/>
                <w:i/>
                <w:iCs/>
                <w:lang w:eastAsia="es-CO"/>
              </w:rPr>
              <w:t>_  </w:t>
            </w:r>
          </w:p>
          <w:p w14:paraId="465CCC02"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710B4230" w14:textId="1F994658" w:rsidR="00BC0560" w:rsidRPr="00677630" w:rsidRDefault="00BC0560" w:rsidP="00BC0560">
            <w:pPr>
              <w:spacing w:after="0" w:line="240" w:lineRule="auto"/>
              <w:ind w:left="708"/>
              <w:jc w:val="both"/>
              <w:rPr>
                <w:rFonts w:ascii="Times New Roman" w:eastAsia="Times New Roman" w:hAnsi="Times New Roman" w:cs="Times New Roman"/>
                <w:sz w:val="24"/>
                <w:szCs w:val="24"/>
                <w:lang w:eastAsia="es-CO"/>
              </w:rPr>
            </w:pPr>
            <w:r w:rsidRPr="00677630">
              <w:rPr>
                <w:rFonts w:ascii="Arial" w:eastAsia="Times New Roman" w:hAnsi="Arial" w:cs="Arial"/>
                <w:b/>
                <w:bCs/>
                <w:i/>
                <w:iCs/>
                <w:lang w:eastAsia="es-CO"/>
              </w:rPr>
              <w:t>b)</w:t>
            </w:r>
            <w:r w:rsidRPr="00677630">
              <w:rPr>
                <w:rFonts w:ascii="Arial" w:eastAsia="Times New Roman" w:hAnsi="Arial" w:cs="Arial"/>
                <w:i/>
                <w:iCs/>
                <w:lang w:eastAsia="es-CO"/>
              </w:rPr>
              <w:t xml:space="preserve"> Cuando no haya que practicar pruebas; __</w:t>
            </w:r>
            <w:r w:rsidR="005C0A2C" w:rsidRPr="00677630">
              <w:rPr>
                <w:rFonts w:ascii="Arial" w:eastAsia="Times New Roman" w:hAnsi="Arial" w:cs="Arial"/>
                <w:b/>
                <w:bCs/>
                <w:i/>
                <w:iCs/>
                <w:lang w:eastAsia="es-CO"/>
              </w:rPr>
              <w:t>X</w:t>
            </w:r>
            <w:r w:rsidRPr="00677630">
              <w:rPr>
                <w:rFonts w:ascii="Arial" w:eastAsia="Times New Roman" w:hAnsi="Arial" w:cs="Arial"/>
                <w:i/>
                <w:iCs/>
                <w:lang w:eastAsia="es-CO"/>
              </w:rPr>
              <w:t>___ </w:t>
            </w:r>
          </w:p>
          <w:p w14:paraId="57F726FE"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3F9FCC58" w14:textId="0ACE053A" w:rsidR="00BC0560" w:rsidRPr="00677630" w:rsidRDefault="00BC0560" w:rsidP="00BC0560">
            <w:pPr>
              <w:spacing w:after="0" w:line="240" w:lineRule="auto"/>
              <w:ind w:left="708"/>
              <w:jc w:val="both"/>
              <w:rPr>
                <w:rFonts w:ascii="Times New Roman" w:eastAsia="Times New Roman" w:hAnsi="Times New Roman" w:cs="Times New Roman"/>
                <w:sz w:val="24"/>
                <w:szCs w:val="24"/>
                <w:lang w:eastAsia="es-CO"/>
              </w:rPr>
            </w:pPr>
            <w:r w:rsidRPr="00677630">
              <w:rPr>
                <w:rFonts w:ascii="Arial" w:eastAsia="Times New Roman" w:hAnsi="Arial" w:cs="Arial"/>
                <w:b/>
                <w:bCs/>
                <w:i/>
                <w:iCs/>
                <w:lang w:eastAsia="es-CO"/>
              </w:rPr>
              <w:t>c)</w:t>
            </w:r>
            <w:r w:rsidRPr="00677630">
              <w:rPr>
                <w:rFonts w:ascii="Arial" w:eastAsia="Times New Roman" w:hAnsi="Arial" w:cs="Arial"/>
                <w:i/>
                <w:iCs/>
                <w:lang w:eastAsia="es-CO"/>
              </w:rPr>
              <w:t xml:space="preserve"> Cuando solo se solicite tener como pruebas las documentales aportadas con la demanda y la contestación, y sobre ellas no se hubiese formulado tacha o desconocimiento;  ___</w:t>
            </w:r>
            <w:r w:rsidR="005C0A2C" w:rsidRPr="00677630">
              <w:rPr>
                <w:rFonts w:ascii="Arial" w:eastAsia="Times New Roman" w:hAnsi="Arial" w:cs="Arial"/>
                <w:b/>
                <w:bCs/>
                <w:i/>
                <w:iCs/>
                <w:lang w:eastAsia="es-CO"/>
              </w:rPr>
              <w:t>X</w:t>
            </w:r>
            <w:r w:rsidRPr="00677630">
              <w:rPr>
                <w:rFonts w:ascii="Arial" w:eastAsia="Times New Roman" w:hAnsi="Arial" w:cs="Arial"/>
                <w:i/>
                <w:iCs/>
                <w:lang w:eastAsia="es-CO"/>
              </w:rPr>
              <w:t>___</w:t>
            </w:r>
          </w:p>
          <w:p w14:paraId="706F1F49"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7210331F" w14:textId="77777777" w:rsidR="00BC0560" w:rsidRPr="00677630" w:rsidRDefault="00BC0560" w:rsidP="00BC0560">
            <w:pPr>
              <w:spacing w:after="0" w:line="240" w:lineRule="auto"/>
              <w:ind w:left="720"/>
              <w:rPr>
                <w:rFonts w:ascii="Times New Roman" w:eastAsia="Times New Roman" w:hAnsi="Times New Roman" w:cs="Times New Roman"/>
                <w:sz w:val="24"/>
                <w:szCs w:val="24"/>
                <w:lang w:eastAsia="es-CO"/>
              </w:rPr>
            </w:pPr>
            <w:r w:rsidRPr="00677630">
              <w:rPr>
                <w:rFonts w:ascii="Arial" w:eastAsia="Times New Roman" w:hAnsi="Arial" w:cs="Arial"/>
                <w:b/>
                <w:bCs/>
                <w:i/>
                <w:iCs/>
                <w:lang w:eastAsia="es-CO"/>
              </w:rPr>
              <w:t>d)</w:t>
            </w:r>
            <w:r w:rsidRPr="00677630">
              <w:rPr>
                <w:rFonts w:ascii="Arial" w:eastAsia="Times New Roman" w:hAnsi="Arial" w:cs="Arial"/>
                <w:i/>
                <w:iCs/>
                <w:lang w:eastAsia="es-CO"/>
              </w:rPr>
              <w:t xml:space="preserve"> Cuando las pruebas solicitadas por las partes sean impertinentes, inconducentes o inútiles. ______</w:t>
            </w:r>
          </w:p>
          <w:p w14:paraId="728612FC"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1C934EF3" w14:textId="77777777" w:rsidR="00BC0560" w:rsidRPr="00677630" w:rsidRDefault="00BC0560" w:rsidP="00BC0560">
            <w:pPr>
              <w:spacing w:after="0" w:line="240" w:lineRule="auto"/>
              <w:jc w:val="both"/>
              <w:rPr>
                <w:rFonts w:ascii="Times New Roman" w:eastAsia="Times New Roman" w:hAnsi="Times New Roman" w:cs="Times New Roman"/>
                <w:sz w:val="24"/>
                <w:szCs w:val="24"/>
                <w:lang w:eastAsia="es-CO"/>
              </w:rPr>
            </w:pPr>
            <w:r w:rsidRPr="00677630">
              <w:rPr>
                <w:rFonts w:ascii="Arial" w:eastAsia="Times New Roman" w:hAnsi="Arial" w:cs="Arial"/>
                <w:lang w:eastAsia="es-CO"/>
              </w:rPr>
              <w:t>Cuando se verifique que procede la sentencia anticipada por alguno de los casos antes descritos, el juez o magistrado ponente debe: </w:t>
            </w:r>
          </w:p>
          <w:p w14:paraId="5A488E6D"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lastRenderedPageBreak/>
              <w:br/>
            </w:r>
          </w:p>
          <w:p w14:paraId="2C8CD6BF" w14:textId="77777777" w:rsidR="00BC0560" w:rsidRPr="00677630" w:rsidRDefault="00BC0560" w:rsidP="00BC0560">
            <w:pPr>
              <w:numPr>
                <w:ilvl w:val="0"/>
                <w:numId w:val="2"/>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Proferir auto donde debe pronunciarse sobre las pruebas cuando a ello hubiere lugar, aplicando el artículo 173 del CGP. </w:t>
            </w:r>
          </w:p>
          <w:p w14:paraId="32172D7C" w14:textId="77777777" w:rsidR="00BC0560" w:rsidRPr="00677630" w:rsidRDefault="00BC0560" w:rsidP="00BC0560">
            <w:pPr>
              <w:numPr>
                <w:ilvl w:val="0"/>
                <w:numId w:val="2"/>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En la misma providencia debe fijar el litigio u objeto de la controversia. </w:t>
            </w:r>
          </w:p>
          <w:p w14:paraId="3E38CE8E"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03D3E561" w14:textId="77777777" w:rsidR="00D454B2" w:rsidRPr="00677630" w:rsidRDefault="00D454B2" w:rsidP="00BC0560">
            <w:pPr>
              <w:spacing w:after="0" w:line="240" w:lineRule="auto"/>
              <w:rPr>
                <w:rFonts w:ascii="Times New Roman" w:eastAsia="Times New Roman" w:hAnsi="Times New Roman" w:cs="Times New Roman"/>
                <w:sz w:val="24"/>
                <w:szCs w:val="24"/>
                <w:lang w:eastAsia="es-CO"/>
              </w:rPr>
            </w:pPr>
          </w:p>
          <w:p w14:paraId="73135D14" w14:textId="77777777" w:rsidR="00BC0560" w:rsidRPr="00677630" w:rsidRDefault="00BC0560" w:rsidP="00BC0560">
            <w:pPr>
              <w:spacing w:after="0" w:line="240" w:lineRule="auto"/>
              <w:jc w:val="both"/>
              <w:rPr>
                <w:rFonts w:ascii="Times New Roman" w:eastAsia="Times New Roman" w:hAnsi="Times New Roman" w:cs="Times New Roman"/>
                <w:sz w:val="24"/>
                <w:szCs w:val="24"/>
                <w:lang w:eastAsia="es-CO"/>
              </w:rPr>
            </w:pPr>
            <w:r w:rsidRPr="00677630">
              <w:rPr>
                <w:rFonts w:ascii="Arial" w:eastAsia="Times New Roman" w:hAnsi="Arial" w:cs="Arial"/>
                <w:lang w:eastAsia="es-CO"/>
              </w:rPr>
              <w:t>En firme las decisiones antes señaladas, se debe: </w:t>
            </w:r>
          </w:p>
          <w:p w14:paraId="48E6B3DD"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558EF8D4" w14:textId="4EAF5E5A" w:rsidR="00BC0560" w:rsidRPr="00677630" w:rsidRDefault="00BC0560" w:rsidP="00BC0560">
            <w:pPr>
              <w:numPr>
                <w:ilvl w:val="0"/>
                <w:numId w:val="3"/>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Correr traslado para alegar de conclusión en la forma prevista en el inciso final del artículo 181 del CPACA, y, </w:t>
            </w:r>
            <w:r w:rsidR="00D454B2" w:rsidRPr="00677630">
              <w:rPr>
                <w:rFonts w:ascii="Arial" w:eastAsia="Times New Roman" w:hAnsi="Arial" w:cs="Arial"/>
                <w:lang w:eastAsia="es-CO"/>
              </w:rPr>
              <w:t xml:space="preserve"> __</w:t>
            </w:r>
            <w:r w:rsidR="005C0A2C" w:rsidRPr="00677630">
              <w:rPr>
                <w:rFonts w:ascii="Arial" w:eastAsia="Times New Roman" w:hAnsi="Arial" w:cs="Arial"/>
                <w:b/>
                <w:bCs/>
                <w:lang w:eastAsia="es-CO"/>
              </w:rPr>
              <w:t>X</w:t>
            </w:r>
            <w:r w:rsidR="00D454B2" w:rsidRPr="00677630">
              <w:rPr>
                <w:rFonts w:ascii="Arial Unicode MS" w:hAnsi="Arial Unicode MS" w:cs="Arial Unicode MS"/>
                <w:sz w:val="36"/>
                <w:szCs w:val="36"/>
                <w:shd w:val="clear" w:color="auto" w:fill="FFFFFF"/>
              </w:rPr>
              <w:t>_</w:t>
            </w:r>
          </w:p>
          <w:p w14:paraId="68ECCB28"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5F3ABE2E" w14:textId="77777777" w:rsidR="00BC0560" w:rsidRPr="00677630" w:rsidRDefault="00BC0560" w:rsidP="00BC0560">
            <w:pPr>
              <w:numPr>
                <w:ilvl w:val="0"/>
                <w:numId w:val="4"/>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En la providencia que así lo ordene, se debe indicar la razón, o razones, por la cual se dictará sentencia anticipada, la cual se expedirá por escrito posteriormente.  </w:t>
            </w:r>
            <w:r w:rsidR="00D454B2" w:rsidRPr="00677630">
              <w:rPr>
                <w:rFonts w:ascii="Arial" w:eastAsia="Times New Roman" w:hAnsi="Arial" w:cs="Arial"/>
                <w:lang w:eastAsia="es-CO"/>
              </w:rPr>
              <w:t>__</w:t>
            </w:r>
          </w:p>
          <w:p w14:paraId="6B9EE631"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49F1CCD4" w14:textId="77777777" w:rsidR="00BC0560" w:rsidRPr="00677630" w:rsidRDefault="00BC0560" w:rsidP="00BC0560">
            <w:pPr>
              <w:numPr>
                <w:ilvl w:val="0"/>
                <w:numId w:val="5"/>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C4BB190"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5EE7C544" w14:textId="77777777" w:rsidR="00BC0560" w:rsidRPr="00677630" w:rsidRDefault="00BC0560" w:rsidP="00BC0560">
            <w:pPr>
              <w:spacing w:after="0" w:line="240" w:lineRule="auto"/>
              <w:jc w:val="both"/>
              <w:rPr>
                <w:rFonts w:ascii="Times New Roman" w:eastAsia="Times New Roman" w:hAnsi="Times New Roman" w:cs="Times New Roman"/>
                <w:sz w:val="24"/>
                <w:szCs w:val="24"/>
                <w:lang w:eastAsia="es-CO"/>
              </w:rPr>
            </w:pPr>
            <w:r w:rsidRPr="00677630">
              <w:rPr>
                <w:rFonts w:ascii="Arial" w:eastAsia="Times New Roman" w:hAnsi="Arial" w:cs="Arial"/>
                <w:b/>
                <w:bCs/>
                <w:i/>
                <w:iCs/>
                <w:sz w:val="18"/>
                <w:szCs w:val="18"/>
                <w:lang w:eastAsia="es-CO"/>
              </w:rPr>
              <w:t>Nota: </w:t>
            </w:r>
          </w:p>
          <w:p w14:paraId="7C87A761" w14:textId="77777777" w:rsidR="00BC0560" w:rsidRPr="00677630" w:rsidRDefault="00BC0560" w:rsidP="00BC0560">
            <w:pPr>
              <w:spacing w:after="0" w:line="240" w:lineRule="auto"/>
              <w:jc w:val="both"/>
              <w:rPr>
                <w:rFonts w:ascii="Arial" w:eastAsia="Times New Roman" w:hAnsi="Arial" w:cs="Arial"/>
                <w:i/>
                <w:iCs/>
                <w:sz w:val="18"/>
                <w:szCs w:val="18"/>
                <w:lang w:eastAsia="es-CO"/>
              </w:rPr>
            </w:pPr>
            <w:r w:rsidRPr="00677630">
              <w:rPr>
                <w:rFonts w:ascii="Arial" w:eastAsia="Times New Roman" w:hAnsi="Arial" w:cs="Arial"/>
                <w:i/>
                <w:iCs/>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7B2D20BB" w14:textId="77777777" w:rsidR="00BC0560" w:rsidRPr="00677630" w:rsidRDefault="00BC0560" w:rsidP="00BC0560">
            <w:pPr>
              <w:spacing w:after="0" w:line="240" w:lineRule="auto"/>
              <w:jc w:val="both"/>
              <w:rPr>
                <w:rFonts w:ascii="Arial" w:eastAsia="Times New Roman" w:hAnsi="Arial" w:cs="Arial"/>
                <w:b/>
                <w:lang w:eastAsia="es-CO"/>
              </w:rPr>
            </w:pPr>
          </w:p>
          <w:p w14:paraId="0D4DA6BD" w14:textId="38C379B0" w:rsidR="00BC0560" w:rsidRPr="00677630" w:rsidRDefault="009E03CD" w:rsidP="009E03CD">
            <w:pPr>
              <w:spacing w:after="0" w:line="240" w:lineRule="auto"/>
              <w:jc w:val="both"/>
              <w:rPr>
                <w:rFonts w:ascii="Arial" w:eastAsia="Times New Roman" w:hAnsi="Arial" w:cs="Arial"/>
                <w:b/>
                <w:lang w:eastAsia="es-CO"/>
              </w:rPr>
            </w:pPr>
            <w:r w:rsidRPr="00677630">
              <w:rPr>
                <w:rFonts w:ascii="Arial" w:eastAsia="Times New Roman" w:hAnsi="Arial" w:cs="Arial"/>
                <w:b/>
                <w:lang w:eastAsia="es-CO"/>
              </w:rPr>
              <w:t xml:space="preserve">R// </w:t>
            </w:r>
          </w:p>
          <w:p w14:paraId="77025D6D" w14:textId="77777777" w:rsidR="00BC0560" w:rsidRPr="00677630" w:rsidRDefault="00BC0560" w:rsidP="009E03CD">
            <w:pPr>
              <w:spacing w:after="0" w:line="240" w:lineRule="auto"/>
              <w:jc w:val="both"/>
              <w:rPr>
                <w:rFonts w:ascii="Times New Roman" w:eastAsia="Times New Roman" w:hAnsi="Times New Roman" w:cs="Times New Roman"/>
                <w:sz w:val="24"/>
                <w:szCs w:val="24"/>
                <w:lang w:eastAsia="es-CO"/>
              </w:rPr>
            </w:pPr>
          </w:p>
        </w:tc>
      </w:tr>
      <w:tr w:rsidR="00677630" w:rsidRPr="00677630" w14:paraId="3EB5B62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EBDF2" w14:textId="77777777" w:rsidR="00BC0560" w:rsidRPr="00677630" w:rsidRDefault="00BC0560" w:rsidP="00BC0560">
            <w:pPr>
              <w:numPr>
                <w:ilvl w:val="0"/>
                <w:numId w:val="6"/>
              </w:numPr>
              <w:spacing w:after="0" w:line="240" w:lineRule="auto"/>
              <w:textAlignment w:val="baseline"/>
              <w:rPr>
                <w:rFonts w:ascii="Arial" w:eastAsia="Times New Roman" w:hAnsi="Arial" w:cs="Arial"/>
                <w:b/>
                <w:bCs/>
                <w:lang w:eastAsia="es-CO"/>
              </w:rPr>
            </w:pPr>
            <w:r w:rsidRPr="00677630">
              <w:rPr>
                <w:rFonts w:ascii="Arial" w:eastAsia="Times New Roman" w:hAnsi="Arial" w:cs="Arial"/>
                <w:b/>
                <w:bCs/>
                <w:lang w:eastAsia="es-CO"/>
              </w:rPr>
              <w:lastRenderedPageBreak/>
              <w:t>SENTENCIA ANTICIPADA EN CUALQUIER ESTADO DEL PROCESO, CUANDO LAS PARTES O SUS APODERADOS DE COMÚN ACUERDO LO SOLICITEN, SEA POR INICIATIVA PROPIA O POR SUGERENCIA DEL JUEZ </w:t>
            </w:r>
          </w:p>
          <w:p w14:paraId="10C9D12C"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296A39CF"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(Numeral 2° del artículo 182A del CPACA)</w:t>
            </w:r>
          </w:p>
          <w:p w14:paraId="6B389635" w14:textId="77777777" w:rsidR="00BC0560" w:rsidRPr="00677630" w:rsidRDefault="00BC0560" w:rsidP="00BC0560">
            <w:pPr>
              <w:spacing w:after="240" w:line="240" w:lineRule="auto"/>
              <w:rPr>
                <w:rFonts w:ascii="Times New Roman" w:eastAsia="Times New Roman" w:hAnsi="Times New Roman" w:cs="Times New Roman"/>
                <w:sz w:val="24"/>
                <w:szCs w:val="24"/>
                <w:lang w:eastAsia="es-CO"/>
              </w:rPr>
            </w:pPr>
          </w:p>
          <w:p w14:paraId="74E7718D"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Analizar las siguientes situaciones y proferir las decisiones que corresponde así: </w:t>
            </w:r>
          </w:p>
          <w:p w14:paraId="6DFC29A1"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7DD5E59E" w14:textId="77777777" w:rsidR="00BC0560" w:rsidRPr="00677630" w:rsidRDefault="00BC0560" w:rsidP="00BC0560">
            <w:pPr>
              <w:numPr>
                <w:ilvl w:val="0"/>
                <w:numId w:val="7"/>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Si en el proceso intervienen litisconsortes necesarios, la petición deberá realizarse conjuntamente con estos;</w:t>
            </w:r>
          </w:p>
          <w:p w14:paraId="11D6E067"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lastRenderedPageBreak/>
              <w:br/>
            </w:r>
          </w:p>
          <w:p w14:paraId="7B6B8896" w14:textId="77777777" w:rsidR="00BC0560" w:rsidRPr="00677630" w:rsidRDefault="00BC0560" w:rsidP="00BC0560">
            <w:pPr>
              <w:numPr>
                <w:ilvl w:val="0"/>
                <w:numId w:val="8"/>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Si la solicitud se presenta en el transcurso de una audiencia, se dará traslado para alegar dentro de ella y, surtido el traslado para alegar, se proferirá sentencia oral o escrita;</w:t>
            </w:r>
          </w:p>
          <w:p w14:paraId="6763D308"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7BA3D383" w14:textId="77777777" w:rsidR="00BC0560" w:rsidRPr="00677630" w:rsidRDefault="00BC0560" w:rsidP="00BC0560">
            <w:pPr>
              <w:numPr>
                <w:ilvl w:val="0"/>
                <w:numId w:val="9"/>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56F64139"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403112A1" w14:textId="77777777" w:rsidR="00BC0560" w:rsidRPr="00677630" w:rsidRDefault="00BC0560" w:rsidP="00BC0560">
            <w:pPr>
              <w:numPr>
                <w:ilvl w:val="0"/>
                <w:numId w:val="10"/>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Con la aceptación de esta petición por parte del juzgador, se entenderán desistidos los recursos que hubieren formulado los peticionarios contra decisiones interlocutorias que estén pendientes de tramitar o resolver; y</w:t>
            </w:r>
          </w:p>
          <w:p w14:paraId="35A48C0C"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049D6EDF" w14:textId="77777777" w:rsidR="00BC0560" w:rsidRPr="00677630" w:rsidRDefault="00BC0560" w:rsidP="00BC0560">
            <w:pPr>
              <w:numPr>
                <w:ilvl w:val="0"/>
                <w:numId w:val="11"/>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El juzgador rechazará la solicitud cuando advierta fraude o colusión</w:t>
            </w:r>
          </w:p>
          <w:p w14:paraId="26B31191" w14:textId="77777777" w:rsidR="00BC0560" w:rsidRPr="00677630" w:rsidRDefault="00BC0560" w:rsidP="00BC0560">
            <w:pPr>
              <w:spacing w:after="24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tc>
      </w:tr>
      <w:tr w:rsidR="00677630" w:rsidRPr="00677630" w14:paraId="3740635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8CA48" w14:textId="77777777" w:rsidR="00BC0560" w:rsidRPr="00677630" w:rsidRDefault="00BC0560" w:rsidP="00BC0560">
            <w:pPr>
              <w:numPr>
                <w:ilvl w:val="0"/>
                <w:numId w:val="12"/>
              </w:numPr>
              <w:spacing w:after="0" w:line="240" w:lineRule="auto"/>
              <w:jc w:val="both"/>
              <w:textAlignment w:val="baseline"/>
              <w:rPr>
                <w:rFonts w:ascii="Arial" w:eastAsia="Times New Roman" w:hAnsi="Arial" w:cs="Arial"/>
                <w:b/>
                <w:bCs/>
                <w:lang w:eastAsia="es-CO"/>
              </w:rPr>
            </w:pPr>
            <w:r w:rsidRPr="00677630">
              <w:rPr>
                <w:rFonts w:ascii="Arial" w:eastAsia="Times New Roman" w:hAnsi="Arial" w:cs="Arial"/>
                <w:b/>
                <w:bCs/>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E151222"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4965845C"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(Numeral 3° del artículo 182A del CPACA)</w:t>
            </w:r>
          </w:p>
          <w:p w14:paraId="56938760"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74BD526D"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En estos eventos se debe proceder de la siguiente manera: </w:t>
            </w:r>
          </w:p>
          <w:p w14:paraId="1E1016A9"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6A421CFF" w14:textId="77777777" w:rsidR="00BC0560" w:rsidRPr="00677630" w:rsidRDefault="00BC0560" w:rsidP="00BC0560">
            <w:pPr>
              <w:numPr>
                <w:ilvl w:val="0"/>
                <w:numId w:val="13"/>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Se correrá traslado para alegar, y en la providencia que así lo ordene, el juzgador precisará sobre cuál o cuáles de las excepciones se pronunciará; y</w:t>
            </w:r>
          </w:p>
          <w:p w14:paraId="055F470B"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333533C2" w14:textId="77777777" w:rsidR="00BC0560" w:rsidRPr="00677630" w:rsidRDefault="00BC0560" w:rsidP="00BC0560">
            <w:pPr>
              <w:numPr>
                <w:ilvl w:val="0"/>
                <w:numId w:val="14"/>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Escuchados o revisados los alegatos se proferirá sentencia anticipada, pero también se podrá reconsiderar la decisión de proferir sentencia de manera anticipada, y, en consecuencia, se continuará el trámite normal del proceso.</w:t>
            </w:r>
          </w:p>
          <w:p w14:paraId="1B0F6D40"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39DEE693" w14:textId="77777777" w:rsidR="00BC0560" w:rsidRPr="00677630" w:rsidRDefault="00BC0560" w:rsidP="00BC0560">
            <w:pPr>
              <w:spacing w:after="0" w:line="240" w:lineRule="auto"/>
              <w:jc w:val="both"/>
              <w:rPr>
                <w:rFonts w:ascii="Times New Roman" w:eastAsia="Times New Roman" w:hAnsi="Times New Roman" w:cs="Times New Roman"/>
                <w:sz w:val="24"/>
                <w:szCs w:val="24"/>
                <w:lang w:eastAsia="es-CO"/>
              </w:rPr>
            </w:pPr>
            <w:r w:rsidRPr="00677630">
              <w:rPr>
                <w:rFonts w:ascii="Arial" w:eastAsia="Times New Roman" w:hAnsi="Arial" w:cs="Arial"/>
                <w:i/>
                <w:iCs/>
                <w:sz w:val="18"/>
                <w:szCs w:val="18"/>
                <w:lang w:eastAsia="es-CO"/>
              </w:rPr>
              <w:t>Nota: en el caso de la transacción, enlistada en el tercer evento en el que se puede dictar sentencia anticipada, se procederá en la manera que a continuación se describe</w:t>
            </w:r>
            <w:r w:rsidRPr="00677630">
              <w:rPr>
                <w:rFonts w:ascii="Arial" w:eastAsia="Times New Roman" w:hAnsi="Arial" w:cs="Arial"/>
                <w:lang w:eastAsia="es-CO"/>
              </w:rPr>
              <w:t>. </w:t>
            </w:r>
          </w:p>
        </w:tc>
      </w:tr>
      <w:tr w:rsidR="00677630" w:rsidRPr="00677630" w14:paraId="760795F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F63C2" w14:textId="77777777" w:rsidR="00BC0560" w:rsidRPr="00677630" w:rsidRDefault="00BC0560" w:rsidP="00BC0560">
            <w:pPr>
              <w:numPr>
                <w:ilvl w:val="0"/>
                <w:numId w:val="15"/>
              </w:numPr>
              <w:spacing w:after="0" w:line="240" w:lineRule="auto"/>
              <w:textAlignment w:val="baseline"/>
              <w:rPr>
                <w:rFonts w:ascii="Arial" w:eastAsia="Times New Roman" w:hAnsi="Arial" w:cs="Arial"/>
                <w:b/>
                <w:bCs/>
                <w:lang w:eastAsia="es-CO"/>
              </w:rPr>
            </w:pPr>
            <w:r w:rsidRPr="00677630">
              <w:rPr>
                <w:rFonts w:ascii="Arial" w:eastAsia="Times New Roman" w:hAnsi="Arial" w:cs="Arial"/>
                <w:b/>
                <w:bCs/>
                <w:lang w:eastAsia="es-CO"/>
              </w:rPr>
              <w:t>EN CASO DE ALLANAMIENTO O TRANSACCIÓN </w:t>
            </w:r>
          </w:p>
          <w:p w14:paraId="0112E5F1"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4D0C0792"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(Numeral 4° del artículo 182A del CPACA)</w:t>
            </w:r>
          </w:p>
          <w:p w14:paraId="618B4EA5"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p>
          <w:p w14:paraId="3854F6BE"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Arial" w:eastAsia="Times New Roman" w:hAnsi="Arial" w:cs="Arial"/>
                <w:lang w:eastAsia="es-CO"/>
              </w:rPr>
              <w:t>En estos casos, el trámite será el siguiente: </w:t>
            </w:r>
          </w:p>
          <w:p w14:paraId="2E8AB8F5"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lastRenderedPageBreak/>
              <w:br/>
            </w:r>
          </w:p>
          <w:p w14:paraId="1AE651FE" w14:textId="77777777" w:rsidR="00BC0560" w:rsidRPr="00677630" w:rsidRDefault="00BC0560" w:rsidP="00BC0560">
            <w:pPr>
              <w:numPr>
                <w:ilvl w:val="0"/>
                <w:numId w:val="16"/>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Se dictará sentencia anticipada de manera inmediata, en aplicación del artículo 176 del CPACA; pero</w:t>
            </w:r>
          </w:p>
          <w:p w14:paraId="10E43F97"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1F682DD1" w14:textId="77777777" w:rsidR="00BC0560" w:rsidRPr="00677630" w:rsidRDefault="00BC0560" w:rsidP="00BC0560">
            <w:pPr>
              <w:numPr>
                <w:ilvl w:val="0"/>
                <w:numId w:val="17"/>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El juzgador podrá rechazar el allanamiento o la transacción, y decretar pruebas de oficio, cuando advierta fraude o colusión o lo pida un tercero que intervenga en el proceso, también en aplicación del artículo 176 del CPACA; y</w:t>
            </w:r>
          </w:p>
          <w:p w14:paraId="7AB279F9" w14:textId="77777777" w:rsidR="00BC0560" w:rsidRPr="00677630" w:rsidRDefault="00BC0560" w:rsidP="00BC0560">
            <w:pPr>
              <w:spacing w:after="0" w:line="240" w:lineRule="auto"/>
              <w:rPr>
                <w:rFonts w:ascii="Times New Roman" w:eastAsia="Times New Roman" w:hAnsi="Times New Roman" w:cs="Times New Roman"/>
                <w:sz w:val="24"/>
                <w:szCs w:val="24"/>
                <w:lang w:eastAsia="es-CO"/>
              </w:rPr>
            </w:pPr>
            <w:r w:rsidRPr="00677630">
              <w:rPr>
                <w:rFonts w:ascii="Times New Roman" w:eastAsia="Times New Roman" w:hAnsi="Times New Roman" w:cs="Times New Roman"/>
                <w:sz w:val="24"/>
                <w:szCs w:val="24"/>
                <w:lang w:eastAsia="es-CO"/>
              </w:rPr>
              <w:br/>
            </w:r>
          </w:p>
          <w:p w14:paraId="2BFE3780" w14:textId="77777777" w:rsidR="00BC0560" w:rsidRPr="00677630" w:rsidRDefault="00BC0560" w:rsidP="00BC0560">
            <w:pPr>
              <w:numPr>
                <w:ilvl w:val="0"/>
                <w:numId w:val="18"/>
              </w:numPr>
              <w:spacing w:after="0" w:line="240" w:lineRule="auto"/>
              <w:jc w:val="both"/>
              <w:textAlignment w:val="baseline"/>
              <w:rPr>
                <w:rFonts w:ascii="Arial" w:eastAsia="Times New Roman" w:hAnsi="Arial" w:cs="Arial"/>
                <w:lang w:eastAsia="es-CO"/>
              </w:rPr>
            </w:pPr>
            <w:r w:rsidRPr="00677630">
              <w:rPr>
                <w:rFonts w:ascii="Arial" w:eastAsia="Times New Roman" w:hAnsi="Arial" w:cs="Arial"/>
                <w:lang w:eastAsia="es-CO"/>
              </w:rPr>
              <w:t xml:space="preserve">Cumplido lo anterior, el juzgador podrá proferir sentencia anticipada inmediatamente </w:t>
            </w:r>
            <w:r w:rsidRPr="00677630">
              <w:rPr>
                <w:rFonts w:ascii="Arial" w:eastAsia="Times New Roman" w:hAnsi="Arial" w:cs="Arial"/>
                <w:i/>
                <w:iCs/>
                <w:lang w:eastAsia="es-CO"/>
              </w:rPr>
              <w:t>-si ha desaparecido la sospecha de fraude o colusión-</w:t>
            </w:r>
            <w:r w:rsidRPr="00677630">
              <w:rPr>
                <w:rFonts w:ascii="Arial" w:eastAsia="Times New Roman" w:hAnsi="Arial" w:cs="Arial"/>
                <w:lang w:eastAsia="es-CO"/>
              </w:rPr>
              <w:t>, o continuará el trámite normal del proceso.</w:t>
            </w:r>
          </w:p>
          <w:p w14:paraId="52A3EEA8" w14:textId="77777777" w:rsidR="00BC0560" w:rsidRPr="00677630" w:rsidRDefault="00BC0560" w:rsidP="00BC0560">
            <w:pPr>
              <w:spacing w:after="240" w:line="240" w:lineRule="auto"/>
              <w:rPr>
                <w:rFonts w:ascii="Times New Roman" w:eastAsia="Times New Roman" w:hAnsi="Times New Roman" w:cs="Times New Roman"/>
                <w:sz w:val="24"/>
                <w:szCs w:val="24"/>
                <w:lang w:eastAsia="es-CO"/>
              </w:rPr>
            </w:pPr>
          </w:p>
        </w:tc>
      </w:tr>
    </w:tbl>
    <w:p w14:paraId="140DDE6C" w14:textId="1E30BD07" w:rsidR="005C0A2C" w:rsidRPr="00677630" w:rsidRDefault="005C0A2C" w:rsidP="005C0A2C">
      <w:pPr>
        <w:jc w:val="center"/>
        <w:rPr>
          <w:rFonts w:ascii="Century Gothic" w:hAnsi="Century Gothic" w:cs="Arial"/>
          <w:b/>
        </w:rPr>
      </w:pPr>
      <w:r w:rsidRPr="00677630">
        <w:rPr>
          <w:rFonts w:ascii="Century Gothic" w:hAnsi="Century Gothic" w:cs="Arial"/>
          <w:i/>
          <w:noProof/>
          <w:lang w:eastAsia="es-CO"/>
        </w:rPr>
        <w:lastRenderedPageBreak/>
        <w:drawing>
          <wp:anchor distT="0" distB="0" distL="114300" distR="114300" simplePos="0" relativeHeight="251659264" behindDoc="1" locked="0" layoutInCell="1" allowOverlap="1" wp14:anchorId="2D4F1725" wp14:editId="1B24E006">
            <wp:simplePos x="0" y="0"/>
            <wp:positionH relativeFrom="margin">
              <wp:posOffset>2377440</wp:posOffset>
            </wp:positionH>
            <wp:positionV relativeFrom="paragraph">
              <wp:posOffset>77470</wp:posOffset>
            </wp:positionV>
            <wp:extent cx="847725" cy="838200"/>
            <wp:effectExtent l="0" t="0" r="9525" b="0"/>
            <wp:wrapNone/>
            <wp:docPr id="1" name="Imagen 1" descr="Escudo de Colombia Rama Jud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de Colombia Rama Judici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anchor>
        </w:drawing>
      </w:r>
    </w:p>
    <w:p w14:paraId="47E7C30E" w14:textId="1F66C5D7" w:rsidR="005C0A2C" w:rsidRPr="00677630" w:rsidRDefault="005C0A2C" w:rsidP="005C0A2C">
      <w:pPr>
        <w:jc w:val="center"/>
        <w:rPr>
          <w:rFonts w:ascii="Century Gothic" w:hAnsi="Century Gothic" w:cs="Arial"/>
          <w:b/>
        </w:rPr>
      </w:pPr>
    </w:p>
    <w:p w14:paraId="2132C67B" w14:textId="77777777" w:rsidR="005C0A2C" w:rsidRPr="00677630" w:rsidRDefault="005C0A2C" w:rsidP="005C0A2C">
      <w:pPr>
        <w:jc w:val="center"/>
        <w:rPr>
          <w:rFonts w:ascii="Century Gothic" w:hAnsi="Century Gothic" w:cs="Arial"/>
          <w:i/>
          <w:noProof/>
          <w:lang w:eastAsia="es-CO"/>
        </w:rPr>
      </w:pPr>
    </w:p>
    <w:p w14:paraId="33F520B8" w14:textId="2A3BCC89" w:rsidR="005C0A2C" w:rsidRPr="00677630" w:rsidRDefault="00925923" w:rsidP="005C0A2C">
      <w:pPr>
        <w:jc w:val="center"/>
        <w:rPr>
          <w:rFonts w:ascii="Century Gothic" w:hAnsi="Century Gothic" w:cs="Arial"/>
          <w:b/>
          <w:bCs/>
          <w:sz w:val="28"/>
          <w:szCs w:val="28"/>
        </w:rPr>
      </w:pPr>
      <w:r w:rsidRPr="00677630">
        <w:rPr>
          <w:b/>
          <w:sz w:val="28"/>
          <w:szCs w:val="28"/>
        </w:rPr>
        <w:t>JUZGADO UNICO ADMINISTRATIVO ORAL DEL CIRCUITO JUDICIAL DE PASODELARGO</w:t>
      </w:r>
    </w:p>
    <w:p w14:paraId="49207BAE" w14:textId="1EB24669" w:rsidR="007E2831" w:rsidRPr="00677630" w:rsidRDefault="007E2831" w:rsidP="007E2831">
      <w:pPr>
        <w:rPr>
          <w:rFonts w:ascii="Century Gothic" w:hAnsi="Century Gothic" w:cs="Arial"/>
        </w:rPr>
      </w:pPr>
      <w:bookmarkStart w:id="0" w:name="_Hlk72423501"/>
      <w:bookmarkStart w:id="1" w:name="_Hlk72410535"/>
      <w:bookmarkStart w:id="2" w:name="_Hlk72422506"/>
      <w:r w:rsidRPr="00677630">
        <w:rPr>
          <w:rFonts w:ascii="Century Gothic" w:hAnsi="Century Gothic" w:cs="Arial"/>
        </w:rPr>
        <w:t xml:space="preserve">Bogotá, D. C., </w:t>
      </w:r>
      <w:r w:rsidRPr="00677630">
        <w:rPr>
          <w:rFonts w:ascii="Century Gothic" w:hAnsi="Century Gothic" w:cs="Arial"/>
        </w:rPr>
        <w:t>05 de septiembre</w:t>
      </w:r>
      <w:r w:rsidRPr="00677630">
        <w:rPr>
          <w:rFonts w:ascii="Century Gothic" w:hAnsi="Century Gothic" w:cs="Arial"/>
        </w:rPr>
        <w:t xml:space="preserve"> de 2021</w:t>
      </w:r>
    </w:p>
    <w:p w14:paraId="3843FDFD" w14:textId="77777777" w:rsidR="007E2831" w:rsidRPr="00677630" w:rsidRDefault="007E2831" w:rsidP="007E2831">
      <w:pPr>
        <w:rPr>
          <w:rFonts w:ascii="Century Gothic" w:hAnsi="Century Gothic" w:cs="Arial"/>
        </w:rPr>
      </w:pPr>
    </w:p>
    <w:tbl>
      <w:tblPr>
        <w:tblW w:w="88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6832"/>
      </w:tblGrid>
      <w:tr w:rsidR="00677630" w:rsidRPr="00677630" w14:paraId="426F253C" w14:textId="77777777" w:rsidTr="007D0BC8">
        <w:trPr>
          <w:trHeight w:val="295"/>
        </w:trPr>
        <w:tc>
          <w:tcPr>
            <w:tcW w:w="1985" w:type="dxa"/>
            <w:tcBorders>
              <w:top w:val="single" w:sz="4" w:space="0" w:color="auto"/>
              <w:left w:val="single" w:sz="4" w:space="0" w:color="auto"/>
              <w:bottom w:val="single" w:sz="4" w:space="0" w:color="auto"/>
              <w:right w:val="single" w:sz="4" w:space="0" w:color="auto"/>
            </w:tcBorders>
            <w:hideMark/>
          </w:tcPr>
          <w:p w14:paraId="7E35A0D8" w14:textId="77777777" w:rsidR="007E2831" w:rsidRPr="00677630" w:rsidRDefault="007E2831" w:rsidP="007D0BC8">
            <w:pPr>
              <w:jc w:val="center"/>
              <w:rPr>
                <w:rFonts w:ascii="Century Gothic" w:hAnsi="Century Gothic" w:cs="Arial"/>
                <w:b/>
                <w:bCs/>
              </w:rPr>
            </w:pPr>
            <w:r w:rsidRPr="00677630">
              <w:rPr>
                <w:rFonts w:ascii="Century Gothic" w:hAnsi="Century Gothic" w:cs="Arial"/>
                <w:b/>
                <w:bCs/>
              </w:rPr>
              <w:t xml:space="preserve">Expediente: </w:t>
            </w:r>
          </w:p>
        </w:tc>
        <w:tc>
          <w:tcPr>
            <w:tcW w:w="6832" w:type="dxa"/>
            <w:tcBorders>
              <w:top w:val="single" w:sz="4" w:space="0" w:color="auto"/>
              <w:left w:val="single" w:sz="4" w:space="0" w:color="auto"/>
              <w:bottom w:val="single" w:sz="4" w:space="0" w:color="auto"/>
              <w:right w:val="single" w:sz="4" w:space="0" w:color="auto"/>
            </w:tcBorders>
            <w:hideMark/>
          </w:tcPr>
          <w:p w14:paraId="6A68681E" w14:textId="77777777" w:rsidR="007E2831" w:rsidRPr="00677630" w:rsidRDefault="007E2831" w:rsidP="007D0BC8">
            <w:pPr>
              <w:jc w:val="both"/>
              <w:rPr>
                <w:rFonts w:ascii="Century Gothic" w:hAnsi="Century Gothic" w:cs="Arial"/>
                <w:b/>
                <w:bCs/>
              </w:rPr>
            </w:pPr>
            <w:r w:rsidRPr="00677630">
              <w:rPr>
                <w:rFonts w:ascii="Century Gothic" w:hAnsi="Century Gothic" w:cs="Arial"/>
                <w:b/>
                <w:bCs/>
              </w:rPr>
              <w:t>11001333501120190007000</w:t>
            </w:r>
          </w:p>
        </w:tc>
      </w:tr>
      <w:tr w:rsidR="00677630" w:rsidRPr="00677630" w14:paraId="11965376" w14:textId="77777777" w:rsidTr="007D0BC8">
        <w:trPr>
          <w:trHeight w:val="589"/>
        </w:trPr>
        <w:tc>
          <w:tcPr>
            <w:tcW w:w="1985" w:type="dxa"/>
            <w:tcBorders>
              <w:top w:val="single" w:sz="4" w:space="0" w:color="auto"/>
              <w:left w:val="single" w:sz="4" w:space="0" w:color="auto"/>
              <w:bottom w:val="single" w:sz="4" w:space="0" w:color="auto"/>
              <w:right w:val="single" w:sz="4" w:space="0" w:color="auto"/>
            </w:tcBorders>
            <w:vAlign w:val="center"/>
            <w:hideMark/>
          </w:tcPr>
          <w:p w14:paraId="3CF43C93" w14:textId="77777777" w:rsidR="007E2831" w:rsidRPr="00677630" w:rsidRDefault="007E2831" w:rsidP="007D0BC8">
            <w:pPr>
              <w:jc w:val="right"/>
              <w:rPr>
                <w:rFonts w:ascii="Century Gothic" w:hAnsi="Century Gothic" w:cs="Arial"/>
                <w:b/>
                <w:bCs/>
              </w:rPr>
            </w:pPr>
            <w:r w:rsidRPr="00677630">
              <w:rPr>
                <w:rFonts w:ascii="Century Gothic" w:hAnsi="Century Gothic" w:cs="Arial"/>
                <w:b/>
                <w:bCs/>
              </w:rPr>
              <w:t xml:space="preserve">Demandante: </w:t>
            </w:r>
          </w:p>
        </w:tc>
        <w:tc>
          <w:tcPr>
            <w:tcW w:w="6832" w:type="dxa"/>
            <w:tcBorders>
              <w:top w:val="single" w:sz="4" w:space="0" w:color="auto"/>
              <w:left w:val="single" w:sz="4" w:space="0" w:color="auto"/>
              <w:bottom w:val="single" w:sz="4" w:space="0" w:color="auto"/>
              <w:right w:val="single" w:sz="4" w:space="0" w:color="auto"/>
            </w:tcBorders>
            <w:vAlign w:val="center"/>
            <w:hideMark/>
          </w:tcPr>
          <w:p w14:paraId="00C49BB6" w14:textId="77777777" w:rsidR="007E2831" w:rsidRPr="00677630" w:rsidRDefault="007E2831" w:rsidP="007D0BC8">
            <w:pPr>
              <w:jc w:val="both"/>
              <w:rPr>
                <w:rFonts w:ascii="Century Gothic" w:hAnsi="Century Gothic" w:cs="Arial"/>
                <w:b/>
                <w:bCs/>
              </w:rPr>
            </w:pPr>
            <w:r w:rsidRPr="00677630">
              <w:rPr>
                <w:rFonts w:ascii="Trebuchet MS" w:eastAsia="Arial Unicode MS" w:hAnsi="Trebuchet MS" w:cs="Arial"/>
                <w:b/>
                <w:lang w:val="es-ES_tradnl"/>
              </w:rPr>
              <w:t>MYRIAM OLAYA RODRIGUEZ</w:t>
            </w:r>
          </w:p>
        </w:tc>
      </w:tr>
      <w:tr w:rsidR="00677630" w:rsidRPr="00677630" w14:paraId="6C0E1014" w14:textId="77777777" w:rsidTr="007D0BC8">
        <w:trPr>
          <w:trHeight w:val="575"/>
        </w:trPr>
        <w:tc>
          <w:tcPr>
            <w:tcW w:w="1985" w:type="dxa"/>
            <w:tcBorders>
              <w:top w:val="single" w:sz="4" w:space="0" w:color="auto"/>
              <w:left w:val="single" w:sz="4" w:space="0" w:color="auto"/>
              <w:bottom w:val="single" w:sz="4" w:space="0" w:color="auto"/>
              <w:right w:val="single" w:sz="4" w:space="0" w:color="auto"/>
            </w:tcBorders>
            <w:vAlign w:val="center"/>
            <w:hideMark/>
          </w:tcPr>
          <w:p w14:paraId="4F0C8E24" w14:textId="77777777" w:rsidR="007E2831" w:rsidRPr="00677630" w:rsidRDefault="007E2831" w:rsidP="007D0BC8">
            <w:pPr>
              <w:jc w:val="center"/>
              <w:rPr>
                <w:rFonts w:ascii="Century Gothic" w:hAnsi="Century Gothic" w:cs="Arial"/>
                <w:b/>
                <w:bCs/>
              </w:rPr>
            </w:pPr>
            <w:r w:rsidRPr="00677630">
              <w:rPr>
                <w:rFonts w:ascii="Century Gothic" w:hAnsi="Century Gothic" w:cs="Arial"/>
                <w:b/>
                <w:bCs/>
              </w:rPr>
              <w:t xml:space="preserve">  Demandado: </w:t>
            </w:r>
          </w:p>
        </w:tc>
        <w:tc>
          <w:tcPr>
            <w:tcW w:w="6832" w:type="dxa"/>
            <w:tcBorders>
              <w:top w:val="single" w:sz="4" w:space="0" w:color="auto"/>
              <w:left w:val="single" w:sz="4" w:space="0" w:color="auto"/>
              <w:bottom w:val="single" w:sz="4" w:space="0" w:color="auto"/>
              <w:right w:val="single" w:sz="4" w:space="0" w:color="auto"/>
            </w:tcBorders>
            <w:vAlign w:val="center"/>
            <w:hideMark/>
          </w:tcPr>
          <w:p w14:paraId="2FB5C9DE" w14:textId="77777777" w:rsidR="007E2831" w:rsidRPr="00677630" w:rsidRDefault="007E2831" w:rsidP="007D0BC8">
            <w:pPr>
              <w:jc w:val="both"/>
              <w:rPr>
                <w:rFonts w:ascii="Century Gothic" w:hAnsi="Century Gothic" w:cs="Arial"/>
                <w:b/>
                <w:bCs/>
              </w:rPr>
            </w:pPr>
            <w:r w:rsidRPr="00677630">
              <w:rPr>
                <w:rFonts w:ascii="Century Gothic" w:hAnsi="Century Gothic" w:cs="Arial"/>
                <w:b/>
                <w:bCs/>
              </w:rPr>
              <w:t>LA NACIÓN - RAMA JUDICIAL-FISCALIA GENERAL DE LA NACION</w:t>
            </w:r>
          </w:p>
        </w:tc>
      </w:tr>
    </w:tbl>
    <w:p w14:paraId="728BC593" w14:textId="77777777" w:rsidR="007E2831" w:rsidRPr="00677630" w:rsidRDefault="007E2831" w:rsidP="007E2831">
      <w:pPr>
        <w:jc w:val="both"/>
        <w:rPr>
          <w:rFonts w:ascii="Century Gothic" w:hAnsi="Century Gothic" w:cs="Arial"/>
        </w:rPr>
      </w:pPr>
    </w:p>
    <w:p w14:paraId="77279169" w14:textId="77777777" w:rsidR="007E2831" w:rsidRPr="00677630" w:rsidRDefault="007E2831" w:rsidP="007E2831">
      <w:pPr>
        <w:jc w:val="both"/>
        <w:rPr>
          <w:rFonts w:ascii="Century Gothic" w:hAnsi="Century Gothic" w:cs="Arial"/>
        </w:rPr>
      </w:pPr>
      <w:r w:rsidRPr="00677630">
        <w:rPr>
          <w:rFonts w:ascii="Century Gothic" w:hAnsi="Century Gothic" w:cs="Arial"/>
        </w:rPr>
        <w:t>Procede el Despacho a dar continuación al trámite del proceso de la referencia, teniendo en cuenta las siguientes,</w:t>
      </w:r>
    </w:p>
    <w:p w14:paraId="44025079" w14:textId="77777777" w:rsidR="007E2831" w:rsidRPr="00677630" w:rsidRDefault="007E2831" w:rsidP="007E2831">
      <w:pPr>
        <w:pStyle w:val="Sinespaciado"/>
        <w:spacing w:line="276" w:lineRule="auto"/>
      </w:pPr>
    </w:p>
    <w:p w14:paraId="27D5F804" w14:textId="77777777" w:rsidR="007E2831" w:rsidRPr="00677630" w:rsidRDefault="007E2831" w:rsidP="007E2831">
      <w:pPr>
        <w:pStyle w:val="Ttulo2"/>
        <w:spacing w:line="276" w:lineRule="auto"/>
        <w:rPr>
          <w:rFonts w:ascii="Century Gothic" w:hAnsi="Century Gothic" w:cs="Arial"/>
          <w:bCs/>
          <w:szCs w:val="24"/>
          <w:lang w:val="es-ES"/>
        </w:rPr>
      </w:pPr>
      <w:r w:rsidRPr="00677630">
        <w:rPr>
          <w:rFonts w:ascii="Century Gothic" w:hAnsi="Century Gothic" w:cs="Arial"/>
          <w:bCs/>
          <w:szCs w:val="24"/>
          <w:lang w:val="es-ES"/>
        </w:rPr>
        <w:t>CONSIDERACIONES:</w:t>
      </w:r>
    </w:p>
    <w:p w14:paraId="55FE852E" w14:textId="77777777" w:rsidR="007E2831" w:rsidRPr="00677630" w:rsidRDefault="007E2831" w:rsidP="007E2831">
      <w:pPr>
        <w:pStyle w:val="Sinespaciado"/>
        <w:spacing w:line="276" w:lineRule="auto"/>
      </w:pPr>
    </w:p>
    <w:p w14:paraId="204828E1" w14:textId="77777777" w:rsidR="007E2831" w:rsidRPr="00677630" w:rsidRDefault="007E2831" w:rsidP="007E2831">
      <w:pPr>
        <w:jc w:val="both"/>
        <w:rPr>
          <w:rFonts w:ascii="Century Gothic" w:hAnsi="Century Gothic" w:cs="Arial"/>
        </w:rPr>
      </w:pPr>
      <w:r w:rsidRPr="00677630">
        <w:rPr>
          <w:rFonts w:ascii="Century Gothic" w:hAnsi="Century Gothic" w:cs="Arial"/>
        </w:rPr>
        <w:t>Que mediante el Decreto Legislativo 806 del 04 de junio de 2020, proferido por el Ministerio de Justicia y del Derecho, “</w:t>
      </w:r>
      <w:r w:rsidRPr="00677630">
        <w:rPr>
          <w:rFonts w:ascii="Century Gothic" w:hAnsi="Century Gothic"/>
        </w:rPr>
        <w:t xml:space="preserve">Por el cual se adoptan medidas para implementar las tecnologías de la información y las comunicaciones en las actuaciones judiciales, agilizar los procesos judiciales y flexibilizar la atención a los </w:t>
      </w:r>
      <w:r w:rsidRPr="00677630">
        <w:rPr>
          <w:rFonts w:ascii="Century Gothic" w:hAnsi="Century Gothic"/>
        </w:rPr>
        <w:lastRenderedPageBreak/>
        <w:t xml:space="preserve">usuarios del servicio de justicia, en el marco del Estado de Emergencia Económica, Social y Ecológica”, </w:t>
      </w:r>
      <w:r w:rsidRPr="00677630">
        <w:rPr>
          <w:rFonts w:ascii="Century Gothic" w:hAnsi="Century Gothic" w:cs="Arial"/>
        </w:rPr>
        <w:t>en el cual establece entre otros los lineamientos establecidos para proferir Sentencia anticipada de la siguiente manera:</w:t>
      </w:r>
    </w:p>
    <w:p w14:paraId="0B54FA30" w14:textId="77777777" w:rsidR="007E2831" w:rsidRPr="00677630" w:rsidRDefault="007E2831" w:rsidP="007E2831">
      <w:pPr>
        <w:pStyle w:val="Sinespaciado"/>
        <w:spacing w:line="276" w:lineRule="auto"/>
      </w:pPr>
    </w:p>
    <w:p w14:paraId="560EAAA0" w14:textId="77777777" w:rsidR="007E2831" w:rsidRPr="00677630" w:rsidRDefault="007E2831" w:rsidP="007E2831">
      <w:pPr>
        <w:ind w:left="426" w:right="616"/>
        <w:jc w:val="both"/>
        <w:rPr>
          <w:i/>
        </w:rPr>
      </w:pPr>
      <w:r w:rsidRPr="00677630">
        <w:rPr>
          <w:b/>
          <w:i/>
        </w:rPr>
        <w:t>Artículo 13</w:t>
      </w:r>
      <w:r w:rsidRPr="00677630">
        <w:rPr>
          <w:i/>
        </w:rPr>
        <w:t xml:space="preserve">. Sentencia anticipada en lo contencioso administrativo. El juzgador deberá dictar sentencia anticipada: </w:t>
      </w:r>
    </w:p>
    <w:p w14:paraId="0BB495E5" w14:textId="77777777" w:rsidR="007E2831" w:rsidRPr="00677630" w:rsidRDefault="007E2831" w:rsidP="007E2831">
      <w:pPr>
        <w:pStyle w:val="Prrafodelista"/>
        <w:numPr>
          <w:ilvl w:val="0"/>
          <w:numId w:val="19"/>
        </w:numPr>
        <w:spacing w:after="0"/>
        <w:ind w:left="1276" w:right="616"/>
        <w:jc w:val="both"/>
        <w:rPr>
          <w:i/>
        </w:rPr>
      </w:pPr>
      <w:r w:rsidRPr="00677630">
        <w:rPr>
          <w:b/>
          <w:i/>
          <w:u w:val="single"/>
        </w:rPr>
        <w:t>Antes de la audiencia inicial, cuando se trate de asuntos de puro derecho o no fuere necesario practicar pruebas</w:t>
      </w:r>
      <w:r w:rsidRPr="00677630">
        <w:rPr>
          <w:i/>
        </w:rPr>
        <w:t xml:space="preserve">, caso en el cual </w:t>
      </w:r>
      <w:r w:rsidRPr="00677630">
        <w:rPr>
          <w:b/>
          <w:i/>
          <w:u w:val="single"/>
        </w:rPr>
        <w:t>correrá traslado para alegar por escrito</w:t>
      </w:r>
      <w:r w:rsidRPr="00677630">
        <w:rPr>
          <w:i/>
        </w:rPr>
        <w:t xml:space="preserve">, en la forma prevista en el inciso final del artículo 181 de la Ley 1437 de 2011 y la </w:t>
      </w:r>
      <w:r w:rsidRPr="00677630">
        <w:rPr>
          <w:b/>
          <w:i/>
          <w:u w:val="single"/>
        </w:rPr>
        <w:t>sentencia se proferirá por escrito</w:t>
      </w:r>
      <w:r w:rsidRPr="00677630">
        <w:rPr>
          <w:i/>
        </w:rPr>
        <w:t>.</w:t>
      </w:r>
    </w:p>
    <w:p w14:paraId="29E71689" w14:textId="77777777" w:rsidR="007E2831" w:rsidRPr="00677630" w:rsidRDefault="007E2831" w:rsidP="007E2831">
      <w:pPr>
        <w:pStyle w:val="Prrafodelista"/>
        <w:jc w:val="both"/>
        <w:rPr>
          <w:i/>
        </w:rPr>
      </w:pPr>
    </w:p>
    <w:p w14:paraId="21583CEB" w14:textId="77777777" w:rsidR="007E2831" w:rsidRPr="00677630" w:rsidRDefault="007E2831" w:rsidP="007E2831">
      <w:pPr>
        <w:pStyle w:val="Prrafodelista"/>
        <w:numPr>
          <w:ilvl w:val="0"/>
          <w:numId w:val="19"/>
        </w:numPr>
        <w:spacing w:after="0"/>
        <w:ind w:left="1134" w:right="758"/>
        <w:jc w:val="both"/>
        <w:rPr>
          <w:i/>
        </w:rPr>
      </w:pPr>
      <w:r w:rsidRPr="00677630">
        <w:rPr>
          <w:b/>
          <w:i/>
          <w:u w:val="single"/>
        </w:rPr>
        <w:t>En cualquier estado del proceso</w:t>
      </w:r>
      <w:r w:rsidRPr="00677630">
        <w:rPr>
          <w:i/>
          <w:u w:val="single"/>
        </w:rPr>
        <w:t xml:space="preserve">, </w:t>
      </w:r>
      <w:r w:rsidRPr="00677630">
        <w:rPr>
          <w:b/>
          <w:i/>
          <w:u w:val="single"/>
        </w:rPr>
        <w:t>cuando las partes o sus apoderados de común acuerdo lo soliciten</w:t>
      </w:r>
      <w:r w:rsidRPr="00677630">
        <w:rPr>
          <w:i/>
        </w:rPr>
        <w:t>,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 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w:t>
      </w:r>
    </w:p>
    <w:p w14:paraId="5125D139" w14:textId="77777777" w:rsidR="007E2831" w:rsidRPr="00677630" w:rsidRDefault="007E2831" w:rsidP="007E2831">
      <w:pPr>
        <w:pStyle w:val="Sinespaciado"/>
        <w:spacing w:line="276" w:lineRule="auto"/>
      </w:pPr>
    </w:p>
    <w:p w14:paraId="32D846FB" w14:textId="77777777" w:rsidR="007E2831" w:rsidRPr="00677630" w:rsidRDefault="007E2831" w:rsidP="007E2831">
      <w:pPr>
        <w:pStyle w:val="Prrafodelista"/>
        <w:numPr>
          <w:ilvl w:val="0"/>
          <w:numId w:val="19"/>
        </w:numPr>
        <w:spacing w:after="0"/>
        <w:ind w:left="1134" w:right="758"/>
        <w:jc w:val="both"/>
        <w:rPr>
          <w:i/>
        </w:rPr>
      </w:pPr>
      <w:r w:rsidRPr="00677630">
        <w:rPr>
          <w:i/>
        </w:rPr>
        <w:t>En la segunda etapa del proceso prevista en el artículo 179 de la Ley 1437 de 2011, cuando encuentre probada la cosa juzgada, la transacción; la conciliación, la caducidad, la prescripción extintiva y la falta de legitimación en la causa. La sentencia se dictará oralmente en audiencia o se proferirá por escrito. En este caso no se correrá traslado para alegar. 4. En caso de allanamiento de conformidad con el artículo 176 de la Ley 1437 de 2011.</w:t>
      </w:r>
    </w:p>
    <w:p w14:paraId="2E27EBC4" w14:textId="77777777" w:rsidR="007E2831" w:rsidRPr="00677630" w:rsidRDefault="007E2831" w:rsidP="007E2831">
      <w:pPr>
        <w:pStyle w:val="Sinespaciado"/>
        <w:spacing w:line="276" w:lineRule="auto"/>
      </w:pPr>
    </w:p>
    <w:p w14:paraId="4C8C9D36" w14:textId="77777777" w:rsidR="007E2831" w:rsidRPr="00677630" w:rsidRDefault="007E2831" w:rsidP="007E2831">
      <w:pPr>
        <w:jc w:val="both"/>
        <w:rPr>
          <w:rFonts w:ascii="Century Gothic" w:hAnsi="Century Gothic" w:cs="Arial"/>
        </w:rPr>
      </w:pPr>
      <w:r w:rsidRPr="00677630">
        <w:rPr>
          <w:rFonts w:ascii="Century Gothic" w:hAnsi="Century Gothic" w:cs="Arial"/>
        </w:rPr>
        <w:t>En concordancia con el artículo 42 de la ley 2080 del 25 de enero de 2021, Por medio de la cual se reforma el código de procedimiento administrativo y de lo contencioso administrativo -ley 1437 de 2011- y se dictan otras disposiciones en materia de descongestión, entre otros, adiciona el artículo 182A, “Sentencia Anticipada”</w:t>
      </w:r>
    </w:p>
    <w:p w14:paraId="497806BF" w14:textId="77777777" w:rsidR="007E2831" w:rsidRPr="00677630" w:rsidRDefault="007E2831" w:rsidP="007E2831">
      <w:pPr>
        <w:pStyle w:val="Sinespaciado"/>
        <w:spacing w:line="276" w:lineRule="auto"/>
      </w:pPr>
      <w:r w:rsidRPr="00677630">
        <w:t xml:space="preserve"> </w:t>
      </w:r>
    </w:p>
    <w:p w14:paraId="1CA796F8" w14:textId="77777777" w:rsidR="007E2831" w:rsidRPr="00677630" w:rsidRDefault="007E2831" w:rsidP="007E2831">
      <w:pPr>
        <w:jc w:val="both"/>
        <w:rPr>
          <w:rFonts w:ascii="Century Gothic" w:hAnsi="Century Gothic" w:cs="Arial"/>
          <w:b/>
        </w:rPr>
      </w:pPr>
      <w:r w:rsidRPr="00677630">
        <w:rPr>
          <w:rFonts w:ascii="Century Gothic" w:hAnsi="Century Gothic" w:cs="Arial"/>
          <w:b/>
        </w:rPr>
        <w:t>Se podrá dictar sentencia anticipada:</w:t>
      </w:r>
    </w:p>
    <w:p w14:paraId="645769CE" w14:textId="77777777" w:rsidR="007E2831" w:rsidRPr="00677630" w:rsidRDefault="007E2831" w:rsidP="007E2831">
      <w:pPr>
        <w:pStyle w:val="Sinespaciado"/>
        <w:spacing w:line="276" w:lineRule="auto"/>
      </w:pPr>
      <w:r w:rsidRPr="00677630">
        <w:t xml:space="preserve">  </w:t>
      </w:r>
    </w:p>
    <w:p w14:paraId="0882E925" w14:textId="77777777" w:rsidR="007E2831" w:rsidRPr="00677630" w:rsidRDefault="007E2831" w:rsidP="007E2831">
      <w:pPr>
        <w:ind w:left="426"/>
        <w:jc w:val="both"/>
        <w:rPr>
          <w:i/>
        </w:rPr>
      </w:pPr>
      <w:r w:rsidRPr="00677630">
        <w:rPr>
          <w:i/>
        </w:rPr>
        <w:t xml:space="preserve">1. </w:t>
      </w:r>
      <w:r w:rsidRPr="00677630">
        <w:rPr>
          <w:b/>
          <w:i/>
        </w:rPr>
        <w:t>Antes de la audiencia inicial:</w:t>
      </w:r>
      <w:r w:rsidRPr="00677630">
        <w:rPr>
          <w:i/>
        </w:rPr>
        <w:t xml:space="preserve">  </w:t>
      </w:r>
    </w:p>
    <w:p w14:paraId="2136D3BC" w14:textId="77777777" w:rsidR="007E2831" w:rsidRPr="00677630" w:rsidRDefault="007E2831" w:rsidP="007E2831">
      <w:pPr>
        <w:ind w:left="851"/>
        <w:jc w:val="both"/>
        <w:rPr>
          <w:i/>
        </w:rPr>
      </w:pPr>
      <w:r w:rsidRPr="00677630">
        <w:rPr>
          <w:i/>
        </w:rPr>
        <w:lastRenderedPageBreak/>
        <w:t xml:space="preserve">a) </w:t>
      </w:r>
      <w:r w:rsidRPr="00677630">
        <w:rPr>
          <w:b/>
          <w:i/>
        </w:rPr>
        <w:t>Cuando se trate de asuntos de puro derecho;</w:t>
      </w:r>
      <w:r w:rsidRPr="00677630">
        <w:rPr>
          <w:i/>
        </w:rPr>
        <w:t xml:space="preserve">  </w:t>
      </w:r>
    </w:p>
    <w:p w14:paraId="4F659BFA" w14:textId="77777777" w:rsidR="007E2831" w:rsidRPr="00677630" w:rsidRDefault="007E2831" w:rsidP="007E2831">
      <w:pPr>
        <w:ind w:left="851"/>
        <w:jc w:val="both"/>
        <w:rPr>
          <w:i/>
        </w:rPr>
      </w:pPr>
      <w:r w:rsidRPr="00677630">
        <w:rPr>
          <w:i/>
        </w:rPr>
        <w:t xml:space="preserve">b) </w:t>
      </w:r>
      <w:r w:rsidRPr="00677630">
        <w:rPr>
          <w:b/>
          <w:i/>
        </w:rPr>
        <w:t>Cuando no haya que practicar pruebas;</w:t>
      </w:r>
      <w:r w:rsidRPr="00677630">
        <w:rPr>
          <w:i/>
        </w:rPr>
        <w:t xml:space="preserve">  </w:t>
      </w:r>
    </w:p>
    <w:p w14:paraId="081DA702" w14:textId="77777777" w:rsidR="007E2831" w:rsidRPr="00677630" w:rsidRDefault="007E2831" w:rsidP="007E2831">
      <w:pPr>
        <w:ind w:left="851" w:right="900"/>
        <w:jc w:val="both"/>
        <w:rPr>
          <w:i/>
        </w:rPr>
      </w:pPr>
      <w:r w:rsidRPr="00677630">
        <w:rPr>
          <w:i/>
        </w:rPr>
        <w:t xml:space="preserve">c) </w:t>
      </w:r>
      <w:r w:rsidRPr="00677630">
        <w:rPr>
          <w:b/>
          <w:i/>
        </w:rPr>
        <w:t>Cuando solo se solicite tener como pruebas las documentales aportadas con la demanda y la contestación, y sobre ellas no se hubiese formulado tacha o desconocimiento;  </w:t>
      </w:r>
    </w:p>
    <w:p w14:paraId="749C9B64" w14:textId="77777777" w:rsidR="007E2831" w:rsidRPr="00677630" w:rsidRDefault="007E2831" w:rsidP="007E2831">
      <w:pPr>
        <w:ind w:left="851" w:right="900"/>
        <w:jc w:val="both"/>
        <w:rPr>
          <w:i/>
        </w:rPr>
      </w:pPr>
      <w:r w:rsidRPr="00677630">
        <w:rPr>
          <w:i/>
        </w:rPr>
        <w:t>d) Cuando las pruebas solicitadas por las partes sean impertinentes, inconducentes o inútiles.</w:t>
      </w:r>
    </w:p>
    <w:p w14:paraId="370236DA" w14:textId="77777777" w:rsidR="007E2831" w:rsidRPr="00677630" w:rsidRDefault="007E2831" w:rsidP="007E2831">
      <w:pPr>
        <w:pStyle w:val="Sinespaciado"/>
        <w:spacing w:line="276" w:lineRule="auto"/>
      </w:pPr>
      <w:r w:rsidRPr="00677630">
        <w:t xml:space="preserve">  </w:t>
      </w:r>
    </w:p>
    <w:p w14:paraId="6AFF15D8" w14:textId="77777777" w:rsidR="007E2831" w:rsidRPr="00677630" w:rsidRDefault="007E2831" w:rsidP="007E2831">
      <w:pPr>
        <w:ind w:left="426"/>
        <w:jc w:val="both"/>
        <w:rPr>
          <w:i/>
        </w:rPr>
      </w:pPr>
      <w:r w:rsidRPr="00677630">
        <w:rPr>
          <w:i/>
        </w:rPr>
        <w:t>(…)</w:t>
      </w:r>
    </w:p>
    <w:p w14:paraId="56F5F8B4" w14:textId="77777777" w:rsidR="007E2831" w:rsidRPr="00677630" w:rsidRDefault="007E2831" w:rsidP="007E2831">
      <w:pPr>
        <w:pStyle w:val="Sinespaciado"/>
        <w:spacing w:line="276" w:lineRule="auto"/>
      </w:pPr>
      <w:r w:rsidRPr="00677630">
        <w:t xml:space="preserve">  </w:t>
      </w:r>
    </w:p>
    <w:p w14:paraId="3552E756" w14:textId="77777777" w:rsidR="007E2831" w:rsidRPr="00677630" w:rsidRDefault="007E2831" w:rsidP="007E2831">
      <w:pPr>
        <w:ind w:left="284" w:right="1041"/>
        <w:jc w:val="both"/>
        <w:rPr>
          <w:i/>
        </w:rPr>
      </w:pPr>
      <w:r w:rsidRPr="00677630">
        <w:rPr>
          <w:i/>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22B2A136" w14:textId="2373B691" w:rsidR="007E2831" w:rsidRPr="00677630" w:rsidRDefault="007E2831" w:rsidP="007E2831">
      <w:pPr>
        <w:jc w:val="both"/>
        <w:rPr>
          <w:rFonts w:ascii="Century Gothic" w:hAnsi="Century Gothic" w:cs="Arial"/>
        </w:rPr>
      </w:pPr>
      <w:r w:rsidRPr="00677630">
        <w:rPr>
          <w:rFonts w:ascii="Century Gothic" w:hAnsi="Century Gothic" w:cs="Arial"/>
        </w:rPr>
        <w:t>En este orden de ideas, teniendo en cuenta que el tema a tratar en el presente proceso es de puro derecho, y que además no requiere practicar las pruebas, este despacho avocara conocimiento del presente litigio, prescindirá</w:t>
      </w:r>
      <w:r w:rsidRPr="00677630">
        <w:rPr>
          <w:rFonts w:ascii="Century Gothic" w:hAnsi="Century Gothic" w:cs="Arial"/>
          <w:b/>
        </w:rPr>
        <w:t xml:space="preserve"> </w:t>
      </w:r>
      <w:r w:rsidRPr="00677630">
        <w:rPr>
          <w:rFonts w:ascii="Century Gothic" w:hAnsi="Century Gothic" w:cs="Arial"/>
        </w:rPr>
        <w:t>de la audiencia inicial, decretará las pruebas a que haya lugar y correrá traslado para los alegatos de conclusión por diez (10) días comunes a las partes, al Ministerio Público y demás intervinientes, en virtud a las normas anteriormente expuestas.</w:t>
      </w:r>
    </w:p>
    <w:p w14:paraId="39DF57AE" w14:textId="77777777" w:rsidR="007E2831" w:rsidRPr="00677630" w:rsidRDefault="007E2831" w:rsidP="007E2831">
      <w:pPr>
        <w:jc w:val="both"/>
        <w:rPr>
          <w:rFonts w:ascii="Century Gothic" w:hAnsi="Century Gothic" w:cs="Arial"/>
        </w:rPr>
      </w:pPr>
      <w:r w:rsidRPr="00677630">
        <w:rPr>
          <w:rFonts w:ascii="Century Gothic" w:hAnsi="Century Gothic" w:cs="Arial"/>
        </w:rPr>
        <w:t>Por las razones expuestas, la suscrita Juez:</w:t>
      </w:r>
    </w:p>
    <w:p w14:paraId="4833777E" w14:textId="77777777" w:rsidR="007E2831" w:rsidRPr="00677630" w:rsidRDefault="007E2831" w:rsidP="007E2831">
      <w:pPr>
        <w:pStyle w:val="Sinespaciado"/>
        <w:spacing w:line="276" w:lineRule="auto"/>
      </w:pPr>
    </w:p>
    <w:p w14:paraId="797BE8F9" w14:textId="77777777" w:rsidR="007E2831" w:rsidRPr="00677630" w:rsidRDefault="007E2831" w:rsidP="007E2831">
      <w:pPr>
        <w:jc w:val="center"/>
        <w:rPr>
          <w:rFonts w:ascii="Century Gothic" w:hAnsi="Century Gothic" w:cs="Arial"/>
          <w:b/>
        </w:rPr>
      </w:pPr>
      <w:r w:rsidRPr="00677630">
        <w:rPr>
          <w:rFonts w:ascii="Century Gothic" w:hAnsi="Century Gothic" w:cs="Arial"/>
          <w:b/>
        </w:rPr>
        <w:t>RESUELVE:</w:t>
      </w:r>
    </w:p>
    <w:p w14:paraId="21A58E3F" w14:textId="77777777" w:rsidR="007E2831" w:rsidRPr="00677630" w:rsidRDefault="007E2831" w:rsidP="007E2831">
      <w:pPr>
        <w:pStyle w:val="Sinespaciado"/>
        <w:spacing w:line="276" w:lineRule="auto"/>
      </w:pPr>
    </w:p>
    <w:p w14:paraId="674ECF0A" w14:textId="77777777" w:rsidR="007E2831" w:rsidRPr="00677630" w:rsidRDefault="007E2831" w:rsidP="007E2831">
      <w:pPr>
        <w:jc w:val="both"/>
        <w:rPr>
          <w:rFonts w:ascii="Century Gothic" w:hAnsi="Century Gothic" w:cs="Arial"/>
        </w:rPr>
      </w:pPr>
      <w:r w:rsidRPr="00677630">
        <w:rPr>
          <w:rFonts w:ascii="Century Gothic" w:hAnsi="Century Gothic" w:cs="Arial"/>
          <w:b/>
        </w:rPr>
        <w:t>PRIMERO:</w:t>
      </w:r>
      <w:r w:rsidRPr="00677630">
        <w:rPr>
          <w:rFonts w:ascii="Century Gothic" w:hAnsi="Century Gothic" w:cs="Arial"/>
        </w:rPr>
        <w:t xml:space="preserve"> </w:t>
      </w:r>
      <w:r w:rsidRPr="00677630">
        <w:rPr>
          <w:rFonts w:ascii="Century Gothic" w:hAnsi="Century Gothic" w:cs="Arial"/>
          <w:b/>
        </w:rPr>
        <w:t>Avocar</w:t>
      </w:r>
      <w:r w:rsidRPr="00677630">
        <w:rPr>
          <w:rFonts w:ascii="Century Gothic" w:hAnsi="Century Gothic" w:cs="Arial"/>
        </w:rPr>
        <w:t xml:space="preserve"> conocimiento del proceso relacionado en la parte motiva de este proveído.</w:t>
      </w:r>
    </w:p>
    <w:p w14:paraId="5288B2B7" w14:textId="77777777" w:rsidR="007E2831" w:rsidRPr="00677630" w:rsidRDefault="007E2831" w:rsidP="007E2831">
      <w:pPr>
        <w:spacing w:after="160"/>
        <w:jc w:val="both"/>
        <w:rPr>
          <w:rFonts w:ascii="Century Gothic" w:hAnsi="Century Gothic" w:cs="Arial"/>
        </w:rPr>
      </w:pPr>
      <w:r w:rsidRPr="00677630">
        <w:rPr>
          <w:rFonts w:ascii="Century Gothic" w:hAnsi="Century Gothic" w:cs="Arial"/>
          <w:b/>
        </w:rPr>
        <w:t>SEGUNDO: Prescindir,</w:t>
      </w:r>
      <w:r w:rsidRPr="00677630">
        <w:rPr>
          <w:rFonts w:ascii="Century Gothic" w:hAnsi="Century Gothic" w:cs="Arial"/>
        </w:rPr>
        <w:t xml:space="preserve"> de la audiencia inicial, por las razones expuestas en la parte motiva de esta providencia. </w:t>
      </w:r>
    </w:p>
    <w:p w14:paraId="613CFF61" w14:textId="77777777" w:rsidR="007E2831" w:rsidRPr="00677630" w:rsidRDefault="007E2831" w:rsidP="007E2831">
      <w:pPr>
        <w:spacing w:after="160"/>
        <w:jc w:val="both"/>
        <w:rPr>
          <w:rFonts w:ascii="Century Gothic" w:hAnsi="Century Gothic" w:cs="Arial"/>
        </w:rPr>
      </w:pPr>
      <w:r w:rsidRPr="00677630">
        <w:rPr>
          <w:rFonts w:ascii="Century Gothic" w:hAnsi="Century Gothic" w:cs="Arial"/>
          <w:b/>
        </w:rPr>
        <w:t>TERCERO: Decrétense</w:t>
      </w:r>
      <w:r w:rsidRPr="00677630">
        <w:rPr>
          <w:rFonts w:ascii="Century Gothic" w:hAnsi="Century Gothic" w:cs="Arial"/>
        </w:rPr>
        <w:t xml:space="preserve">, como medios de prueba, los documentos que se acompañan a la demanda, visibles del folio 1 al 162 del expediente, </w:t>
      </w:r>
      <w:r w:rsidRPr="00677630">
        <w:rPr>
          <w:rFonts w:ascii="Century Gothic" w:hAnsi="Century Gothic" w:cs="Arial"/>
          <w:b/>
        </w:rPr>
        <w:t>entre ellos</w:t>
      </w:r>
      <w:r w:rsidRPr="00677630">
        <w:rPr>
          <w:rFonts w:ascii="Century Gothic" w:hAnsi="Century Gothic" w:cs="Arial"/>
        </w:rPr>
        <w:t xml:space="preserve"> la:</w:t>
      </w:r>
    </w:p>
    <w:p w14:paraId="7C1E1177" w14:textId="77777777" w:rsidR="007E2831" w:rsidRPr="00677630" w:rsidRDefault="007E2831" w:rsidP="007E2831">
      <w:pPr>
        <w:pStyle w:val="Sinespaciado"/>
      </w:pPr>
    </w:p>
    <w:p w14:paraId="2890EB48" w14:textId="77777777" w:rsidR="007E2831" w:rsidRPr="00677630" w:rsidRDefault="007E2831" w:rsidP="007E2831">
      <w:pPr>
        <w:pStyle w:val="Prrafodelista"/>
        <w:numPr>
          <w:ilvl w:val="0"/>
          <w:numId w:val="20"/>
        </w:numPr>
        <w:spacing w:after="160"/>
        <w:jc w:val="both"/>
        <w:rPr>
          <w:rFonts w:ascii="Century Gothic" w:hAnsi="Century Gothic" w:cs="Arial"/>
        </w:rPr>
      </w:pPr>
      <w:r w:rsidRPr="00677630">
        <w:rPr>
          <w:rFonts w:ascii="Century Gothic" w:hAnsi="Century Gothic" w:cs="Arial"/>
        </w:rPr>
        <w:lastRenderedPageBreak/>
        <w:t xml:space="preserve">Petición en sede administrativa radicada por la demandante de fecha Bajo el radicado </w:t>
      </w:r>
      <w:r w:rsidRPr="00677630">
        <w:rPr>
          <w:rFonts w:ascii="Century Gothic" w:hAnsi="Century Gothic" w:cs="Arial"/>
          <w:b/>
        </w:rPr>
        <w:t>SGD No 20176110472582 del 16 de mayo de 2017</w:t>
      </w:r>
      <w:r w:rsidRPr="00677630">
        <w:rPr>
          <w:rFonts w:ascii="Century Gothic" w:hAnsi="Century Gothic" w:cs="Arial"/>
        </w:rPr>
        <w:t xml:space="preserve"> ante la Fiscalía General de la Nación, </w:t>
      </w:r>
      <w:r w:rsidRPr="00677630">
        <w:rPr>
          <w:rFonts w:ascii="Century Gothic" w:hAnsi="Century Gothic" w:cs="Arial"/>
          <w:u w:val="single"/>
        </w:rPr>
        <w:t>visible a folio 8</w:t>
      </w:r>
      <w:r w:rsidRPr="00677630">
        <w:rPr>
          <w:rFonts w:ascii="Century Gothic" w:hAnsi="Century Gothic" w:cs="Arial"/>
        </w:rPr>
        <w:t>, del expediente.</w:t>
      </w:r>
    </w:p>
    <w:p w14:paraId="5A9EF61B" w14:textId="77777777" w:rsidR="007E2831" w:rsidRPr="00677630" w:rsidRDefault="007E2831" w:rsidP="007E2831">
      <w:pPr>
        <w:pStyle w:val="Prrafodelista"/>
        <w:spacing w:after="160"/>
        <w:ind w:left="1440"/>
        <w:jc w:val="both"/>
        <w:rPr>
          <w:rFonts w:ascii="Century Gothic" w:hAnsi="Century Gothic" w:cs="Arial"/>
        </w:rPr>
      </w:pPr>
    </w:p>
    <w:p w14:paraId="1F54588E" w14:textId="77777777" w:rsidR="007E2831" w:rsidRPr="00677630" w:rsidRDefault="007E2831" w:rsidP="007E2831">
      <w:pPr>
        <w:pStyle w:val="Prrafodelista"/>
        <w:numPr>
          <w:ilvl w:val="0"/>
          <w:numId w:val="20"/>
        </w:numPr>
        <w:spacing w:after="160"/>
        <w:jc w:val="both"/>
        <w:rPr>
          <w:rFonts w:ascii="Century Gothic" w:hAnsi="Century Gothic" w:cs="Arial"/>
        </w:rPr>
      </w:pPr>
      <w:r w:rsidRPr="00677630">
        <w:rPr>
          <w:rFonts w:ascii="Century Gothic" w:hAnsi="Century Gothic" w:cs="Arial"/>
          <w:b/>
        </w:rPr>
        <w:t xml:space="preserve">Oficio No 20173100041711 del 30 de junio de 2017, </w:t>
      </w:r>
      <w:r w:rsidRPr="00677630">
        <w:rPr>
          <w:rFonts w:ascii="Century Gothic" w:hAnsi="Century Gothic" w:cs="Arial"/>
        </w:rPr>
        <w:t>proferido</w:t>
      </w:r>
      <w:r w:rsidRPr="00677630">
        <w:rPr>
          <w:rFonts w:ascii="Century Gothic" w:hAnsi="Century Gothic" w:cs="Arial"/>
          <w:b/>
        </w:rPr>
        <w:t xml:space="preserve"> </w:t>
      </w:r>
      <w:r w:rsidRPr="00677630">
        <w:rPr>
          <w:rFonts w:ascii="Century Gothic" w:hAnsi="Century Gothic" w:cs="Arial"/>
        </w:rPr>
        <w:t xml:space="preserve">por la </w:t>
      </w:r>
      <w:r w:rsidRPr="00677630">
        <w:rPr>
          <w:rFonts w:ascii="Century Gothic" w:eastAsia="Arial Unicode MS" w:hAnsi="Century Gothic" w:cs="Arial"/>
          <w:lang w:val="es-ES_tradnl"/>
        </w:rPr>
        <w:t xml:space="preserve">Jede Departamento de Personal, de la Fiscalía General de la Nación, </w:t>
      </w:r>
      <w:r w:rsidRPr="00677630">
        <w:rPr>
          <w:rFonts w:ascii="Century Gothic" w:hAnsi="Century Gothic" w:cs="Arial"/>
          <w:u w:val="single"/>
        </w:rPr>
        <w:t>visible a folio 24</w:t>
      </w:r>
      <w:r w:rsidRPr="00677630">
        <w:rPr>
          <w:rFonts w:ascii="Century Gothic" w:hAnsi="Century Gothic" w:cs="Arial"/>
        </w:rPr>
        <w:t>, del expediente</w:t>
      </w:r>
      <w:r w:rsidRPr="00677630">
        <w:rPr>
          <w:rFonts w:ascii="Century Gothic" w:eastAsia="Arial Unicode MS" w:hAnsi="Century Gothic" w:cs="Arial"/>
          <w:lang w:val="es-ES_tradnl"/>
        </w:rPr>
        <w:t>.</w:t>
      </w:r>
    </w:p>
    <w:p w14:paraId="01D604E6" w14:textId="77777777" w:rsidR="007E2831" w:rsidRPr="00677630" w:rsidRDefault="007E2831" w:rsidP="007E2831">
      <w:pPr>
        <w:pStyle w:val="Prrafodelista"/>
        <w:rPr>
          <w:rFonts w:ascii="Century Gothic" w:hAnsi="Century Gothic" w:cs="Arial"/>
        </w:rPr>
      </w:pPr>
    </w:p>
    <w:p w14:paraId="0A869FB5" w14:textId="77777777" w:rsidR="007E2831" w:rsidRPr="00677630" w:rsidRDefault="007E2831" w:rsidP="007E2831">
      <w:pPr>
        <w:pStyle w:val="Prrafodelista"/>
        <w:numPr>
          <w:ilvl w:val="0"/>
          <w:numId w:val="20"/>
        </w:numPr>
        <w:spacing w:after="160"/>
        <w:jc w:val="both"/>
        <w:rPr>
          <w:rFonts w:ascii="Century Gothic" w:hAnsi="Century Gothic" w:cs="Arial"/>
        </w:rPr>
      </w:pPr>
      <w:r w:rsidRPr="00677630">
        <w:rPr>
          <w:rFonts w:ascii="Century Gothic" w:eastAsia="Arial Unicode MS" w:hAnsi="Century Gothic" w:cs="Arial"/>
          <w:b/>
          <w:lang w:val="es-ES_tradnl"/>
        </w:rPr>
        <w:t>Resolución</w:t>
      </w:r>
      <w:r w:rsidRPr="00677630">
        <w:rPr>
          <w:rFonts w:ascii="Century Gothic" w:hAnsi="Century Gothic" w:cs="Arial"/>
          <w:b/>
        </w:rPr>
        <w:t xml:space="preserve"> No 22543 del 22 de agosto de 2017, </w:t>
      </w:r>
      <w:r w:rsidRPr="00677630">
        <w:rPr>
          <w:rFonts w:ascii="Century Gothic" w:hAnsi="Century Gothic" w:cs="Arial"/>
        </w:rPr>
        <w:t>proferido</w:t>
      </w:r>
      <w:r w:rsidRPr="00677630">
        <w:rPr>
          <w:rFonts w:ascii="Century Gothic" w:hAnsi="Century Gothic" w:cs="Arial"/>
          <w:b/>
        </w:rPr>
        <w:t xml:space="preserve"> </w:t>
      </w:r>
      <w:r w:rsidRPr="00677630">
        <w:rPr>
          <w:rFonts w:ascii="Century Gothic" w:hAnsi="Century Gothic" w:cs="Arial"/>
        </w:rPr>
        <w:t xml:space="preserve">por la </w:t>
      </w:r>
      <w:r w:rsidRPr="00677630">
        <w:rPr>
          <w:rFonts w:ascii="Century Gothic" w:eastAsia="Arial Unicode MS" w:hAnsi="Century Gothic" w:cs="Arial"/>
          <w:lang w:val="es-ES_tradnl"/>
        </w:rPr>
        <w:t xml:space="preserve">Subdirectora Seccional de Apoyo a la Gestión de Bogotá, de la Fiscalía General de la Nación, </w:t>
      </w:r>
      <w:r w:rsidRPr="00677630">
        <w:rPr>
          <w:rFonts w:ascii="Century Gothic" w:hAnsi="Century Gothic" w:cs="Arial"/>
          <w:u w:val="single"/>
        </w:rPr>
        <w:t>visible a folio 45</w:t>
      </w:r>
      <w:r w:rsidRPr="00677630">
        <w:rPr>
          <w:rFonts w:ascii="Century Gothic" w:hAnsi="Century Gothic" w:cs="Arial"/>
        </w:rPr>
        <w:t>, del expediente</w:t>
      </w:r>
      <w:r w:rsidRPr="00677630">
        <w:rPr>
          <w:rFonts w:ascii="Century Gothic" w:eastAsia="Arial Unicode MS" w:hAnsi="Century Gothic" w:cs="Arial"/>
          <w:lang w:val="es-ES_tradnl"/>
        </w:rPr>
        <w:t>.</w:t>
      </w:r>
    </w:p>
    <w:p w14:paraId="69A9A66A" w14:textId="77777777" w:rsidR="007E2831" w:rsidRPr="00677630" w:rsidRDefault="007E2831" w:rsidP="007E2831">
      <w:pPr>
        <w:pStyle w:val="Prrafodelista"/>
        <w:rPr>
          <w:rFonts w:ascii="Century Gothic" w:hAnsi="Century Gothic" w:cs="Arial"/>
        </w:rPr>
      </w:pPr>
    </w:p>
    <w:p w14:paraId="2C62222B" w14:textId="77777777" w:rsidR="007E2831" w:rsidRPr="00677630" w:rsidRDefault="007E2831" w:rsidP="007E2831">
      <w:pPr>
        <w:pStyle w:val="Prrafodelista"/>
        <w:numPr>
          <w:ilvl w:val="0"/>
          <w:numId w:val="20"/>
        </w:numPr>
        <w:spacing w:after="160"/>
        <w:jc w:val="both"/>
        <w:rPr>
          <w:rFonts w:ascii="Century Gothic" w:hAnsi="Century Gothic" w:cs="Arial"/>
        </w:rPr>
      </w:pPr>
      <w:r w:rsidRPr="00677630">
        <w:rPr>
          <w:rFonts w:ascii="Century Gothic" w:hAnsi="Century Gothic" w:cs="Arial"/>
        </w:rPr>
        <w:t xml:space="preserve">Certificaciones de Servicios Prestados, expedida por </w:t>
      </w:r>
      <w:r w:rsidRPr="00677630">
        <w:rPr>
          <w:rFonts w:ascii="Century Gothic" w:eastAsia="Arial Unicode MS" w:hAnsi="Century Gothic" w:cs="Arial"/>
          <w:lang w:val="es-ES_tradnl"/>
        </w:rPr>
        <w:t>el Departamento de Administración de Personal de la Fiscalía General de la Nación</w:t>
      </w:r>
      <w:r w:rsidRPr="00677630">
        <w:rPr>
          <w:rFonts w:ascii="Century Gothic" w:hAnsi="Century Gothic" w:cs="Arial"/>
        </w:rPr>
        <w:t xml:space="preserve">, </w:t>
      </w:r>
      <w:r w:rsidRPr="00677630">
        <w:rPr>
          <w:rFonts w:ascii="Century Gothic" w:hAnsi="Century Gothic" w:cs="Arial"/>
          <w:u w:val="single"/>
        </w:rPr>
        <w:t>visible a folio 41</w:t>
      </w:r>
      <w:r w:rsidRPr="00677630">
        <w:rPr>
          <w:rFonts w:ascii="Century Gothic" w:hAnsi="Century Gothic" w:cs="Arial"/>
        </w:rPr>
        <w:t>, del expediente, en ella, se evidencia el cargo desempeñado por la demandante y sus extremos temporales.</w:t>
      </w:r>
    </w:p>
    <w:p w14:paraId="4BC584DE" w14:textId="77777777" w:rsidR="007E2831" w:rsidRPr="00677630" w:rsidRDefault="007E2831" w:rsidP="007E2831">
      <w:pPr>
        <w:jc w:val="both"/>
        <w:rPr>
          <w:rFonts w:ascii="Century Gothic" w:hAnsi="Century Gothic"/>
          <w:u w:val="single"/>
        </w:rPr>
      </w:pPr>
      <w:r w:rsidRPr="00677630">
        <w:rPr>
          <w:rFonts w:ascii="Century Gothic" w:hAnsi="Century Gothic"/>
          <w:b/>
        </w:rPr>
        <w:t xml:space="preserve">CUARTO: Córrase, </w:t>
      </w:r>
      <w:r w:rsidRPr="00677630">
        <w:rPr>
          <w:rFonts w:ascii="Century Gothic" w:hAnsi="Century Gothic"/>
        </w:rPr>
        <w:t>traslado para alegar de conclusión por escrito a las partes y a los intervinientes, por el término de diez (10) días,</w:t>
      </w:r>
      <w:r w:rsidRPr="00677630">
        <w:rPr>
          <w:rFonts w:ascii="Century Gothic" w:hAnsi="Century Gothic"/>
          <w:b/>
        </w:rPr>
        <w:t xml:space="preserve"> </w:t>
      </w:r>
      <w:r w:rsidRPr="00677630">
        <w:rPr>
          <w:rFonts w:ascii="Century Gothic" w:hAnsi="Century Gothic"/>
        </w:rPr>
        <w:t xml:space="preserve">contados a partir del día siguiente a la notificación por estado del presente auto de conformidad con el artículo 182A de la ley 2080 de 2021, </w:t>
      </w:r>
      <w:r w:rsidRPr="00677630">
        <w:rPr>
          <w:rFonts w:ascii="Century Gothic" w:hAnsi="Century Gothic"/>
          <w:u w:val="single"/>
        </w:rPr>
        <w:t>la sentencia se proferirá me manera anticipada.</w:t>
      </w:r>
    </w:p>
    <w:p w14:paraId="652A5A5C" w14:textId="07E35EDB" w:rsidR="005C0A2C" w:rsidRPr="00677630" w:rsidRDefault="007E2831" w:rsidP="007E2831">
      <w:pPr>
        <w:jc w:val="both"/>
        <w:rPr>
          <w:rFonts w:ascii="Century Gothic" w:hAnsi="Century Gothic"/>
        </w:rPr>
      </w:pPr>
      <w:r w:rsidRPr="00677630">
        <w:rPr>
          <w:rFonts w:ascii="Century Gothic" w:hAnsi="Century Gothic"/>
          <w:b/>
        </w:rPr>
        <w:t>QUINTO: Se reconoce</w:t>
      </w:r>
      <w:r w:rsidRPr="00677630">
        <w:rPr>
          <w:rFonts w:ascii="Century Gothic" w:hAnsi="Century Gothic"/>
        </w:rPr>
        <w:t xml:space="preserve"> personería </w:t>
      </w:r>
      <w:r w:rsidRPr="00677630">
        <w:rPr>
          <w:rFonts w:ascii="Century Gothic" w:hAnsi="Century Gothic" w:cs="Arial"/>
        </w:rPr>
        <w:t xml:space="preserve">a la doctora </w:t>
      </w:r>
      <w:r w:rsidRPr="00677630">
        <w:rPr>
          <w:rFonts w:ascii="Century Gothic" w:hAnsi="Century Gothic"/>
          <w:b/>
        </w:rPr>
        <w:t>Nancy Yamile Moreno Piñeros</w:t>
      </w:r>
      <w:r w:rsidRPr="00677630">
        <w:rPr>
          <w:rFonts w:ascii="Century Gothic" w:hAnsi="Century Gothic"/>
        </w:rPr>
        <w:t>, identificada con cédula de ciudadanía No. 1.075.276.985, portadora de la tarjeta profesional de abogada No. 264.424 del</w:t>
      </w:r>
      <w:r w:rsidRPr="00677630">
        <w:rPr>
          <w:rFonts w:ascii="Century Gothic" w:hAnsi="Century Gothic" w:cs="Arial"/>
        </w:rPr>
        <w:t xml:space="preserve"> Consejo Superior de la Judicatura</w:t>
      </w:r>
      <w:r w:rsidRPr="00677630">
        <w:rPr>
          <w:rFonts w:ascii="Century Gothic" w:hAnsi="Century Gothic"/>
        </w:rPr>
        <w:t xml:space="preserve">, como apoderada </w:t>
      </w:r>
      <w:r w:rsidRPr="00677630">
        <w:rPr>
          <w:rFonts w:ascii="Century Gothic" w:hAnsi="Century Gothic"/>
          <w:b/>
        </w:rPr>
        <w:t>principal</w:t>
      </w:r>
      <w:r w:rsidRPr="00677630">
        <w:rPr>
          <w:rFonts w:ascii="Century Gothic" w:hAnsi="Century Gothic"/>
        </w:rPr>
        <w:t xml:space="preserve"> de la entidad demandada, en los términos y para los efectos del poder visible a folio 201 del expediente.</w:t>
      </w:r>
    </w:p>
    <w:bookmarkEnd w:id="0"/>
    <w:bookmarkEnd w:id="1"/>
    <w:bookmarkEnd w:id="2"/>
    <w:p w14:paraId="24D95F74" w14:textId="77777777" w:rsidR="005C0A2C" w:rsidRPr="00677630" w:rsidRDefault="005C0A2C" w:rsidP="005C0A2C">
      <w:pPr>
        <w:spacing w:after="160"/>
        <w:jc w:val="both"/>
        <w:rPr>
          <w:rFonts w:ascii="Century Gothic" w:hAnsi="Century Gothic" w:cs="Arial"/>
          <w:b/>
        </w:rPr>
      </w:pPr>
    </w:p>
    <w:p w14:paraId="3E634995" w14:textId="383F926F" w:rsidR="005C0A2C" w:rsidRDefault="005C0A2C" w:rsidP="00677630">
      <w:pPr>
        <w:jc w:val="center"/>
        <w:rPr>
          <w:rFonts w:ascii="Century Gothic" w:hAnsi="Century Gothic" w:cs="Arial"/>
          <w:b/>
        </w:rPr>
      </w:pPr>
      <w:r w:rsidRPr="00677630">
        <w:rPr>
          <w:rFonts w:ascii="Century Gothic" w:hAnsi="Century Gothic" w:cs="Arial"/>
          <w:b/>
        </w:rPr>
        <w:t>NOTIFÍQUESE Y CÚMPLASE</w:t>
      </w:r>
    </w:p>
    <w:p w14:paraId="79E18064" w14:textId="77777777" w:rsidR="00677630" w:rsidRPr="00677630" w:rsidRDefault="00677630" w:rsidP="00677630">
      <w:pPr>
        <w:jc w:val="center"/>
        <w:rPr>
          <w:rFonts w:ascii="Century Gothic" w:hAnsi="Century Gothic" w:cs="Arial"/>
          <w:b/>
        </w:rPr>
      </w:pPr>
      <w:bookmarkStart w:id="3" w:name="_GoBack"/>
      <w:bookmarkEnd w:id="3"/>
    </w:p>
    <w:p w14:paraId="020AA350" w14:textId="77777777" w:rsidR="005C0A2C" w:rsidRPr="00677630" w:rsidRDefault="005C0A2C" w:rsidP="005C0A2C">
      <w:pPr>
        <w:jc w:val="center"/>
      </w:pPr>
    </w:p>
    <w:p w14:paraId="1B22E734" w14:textId="75DD4247" w:rsidR="00677630" w:rsidRPr="00677630" w:rsidRDefault="00677630" w:rsidP="00677630">
      <w:pPr>
        <w:spacing w:after="0"/>
        <w:jc w:val="center"/>
        <w:rPr>
          <w:rFonts w:ascii="Century Gothic" w:hAnsi="Century Gothic" w:cs="Arial"/>
          <w:b/>
        </w:rPr>
      </w:pPr>
      <w:r w:rsidRPr="00677630">
        <w:rPr>
          <w:rFonts w:ascii="Century Gothic" w:hAnsi="Century Gothic" w:cs="Arial"/>
          <w:b/>
        </w:rPr>
        <w:t>Hair Enrique Montenegro Ramírez</w:t>
      </w:r>
    </w:p>
    <w:p w14:paraId="7305C198" w14:textId="6B6C07B4" w:rsidR="005C0A2C" w:rsidRPr="00677630" w:rsidRDefault="00677630" w:rsidP="00677630">
      <w:pPr>
        <w:spacing w:after="0"/>
        <w:jc w:val="center"/>
        <w:rPr>
          <w:rFonts w:ascii="Century Gothic" w:hAnsi="Century Gothic" w:cs="Arial"/>
          <w:b/>
        </w:rPr>
      </w:pPr>
      <w:r w:rsidRPr="00677630">
        <w:rPr>
          <w:rFonts w:ascii="Century Gothic" w:hAnsi="Century Gothic" w:cs="Arial"/>
          <w:b/>
        </w:rPr>
        <w:t>Juez Único Administrativo Oral Del Circuito Judicial De Pasodelargo.</w:t>
      </w:r>
    </w:p>
    <w:p w14:paraId="7F5369A1" w14:textId="77777777" w:rsidR="00677630" w:rsidRPr="00677630" w:rsidRDefault="00677630">
      <w:pPr>
        <w:spacing w:after="0"/>
        <w:jc w:val="center"/>
        <w:rPr>
          <w:rFonts w:ascii="Century Gothic" w:hAnsi="Century Gothic" w:cs="Arial"/>
          <w:b/>
        </w:rPr>
      </w:pPr>
    </w:p>
    <w:sectPr w:rsidR="00677630" w:rsidRPr="0067763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3277A"/>
    <w:multiLevelType w:val="hybridMultilevel"/>
    <w:tmpl w:val="46AA796C"/>
    <w:lvl w:ilvl="0" w:tplc="BB38EAB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5"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6"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7"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8"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10"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2" w15:restartNumberingAfterBreak="0">
    <w:nsid w:val="5A4606C0"/>
    <w:multiLevelType w:val="hybridMultilevel"/>
    <w:tmpl w:val="D76CDCC2"/>
    <w:lvl w:ilvl="0" w:tplc="88B63CB0">
      <w:start w:val="1"/>
      <w:numFmt w:val="ordinalText"/>
      <w:lvlText w:val="%1:"/>
      <w:lvlJc w:val="left"/>
      <w:pPr>
        <w:ind w:left="720" w:hanging="360"/>
      </w:pPr>
      <w:rPr>
        <w:rFonts w:ascii="Century Gothic" w:hAnsi="Century Gothic" w:hint="default"/>
        <w:b/>
        <w:i w:val="0"/>
        <w:caps/>
        <w:strike w:val="0"/>
        <w:dstrike w:val="0"/>
        <w:vanish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5"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9251F"/>
    <w:multiLevelType w:val="hybridMultilevel"/>
    <w:tmpl w:val="717032E4"/>
    <w:lvl w:ilvl="0" w:tplc="DA767458">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0"/>
  </w:num>
  <w:num w:numId="3">
    <w:abstractNumId w:val="3"/>
  </w:num>
  <w:num w:numId="4">
    <w:abstractNumId w:val="15"/>
  </w:num>
  <w:num w:numId="5">
    <w:abstractNumId w:val="18"/>
  </w:num>
  <w:num w:numId="6">
    <w:abstractNumId w:val="20"/>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1"/>
  </w:num>
  <w:num w:numId="9">
    <w:abstractNumId w:val="7"/>
  </w:num>
  <w:num w:numId="10">
    <w:abstractNumId w:val="9"/>
  </w:num>
  <w:num w:numId="11">
    <w:abstractNumId w:val="14"/>
  </w:num>
  <w:num w:numId="12">
    <w:abstractNumId w:val="13"/>
    <w:lvlOverride w:ilvl="0">
      <w:lvl w:ilvl="0">
        <w:numFmt w:val="decimal"/>
        <w:lvlText w:val="%1."/>
        <w:lvlJc w:val="left"/>
      </w:lvl>
    </w:lvlOverride>
  </w:num>
  <w:num w:numId="13">
    <w:abstractNumId w:val="8"/>
    <w:lvlOverride w:ilvl="0">
      <w:lvl w:ilvl="0">
        <w:numFmt w:val="lowerLetter"/>
        <w:lvlText w:val="%1."/>
        <w:lvlJc w:val="left"/>
      </w:lvl>
    </w:lvlOverride>
  </w:num>
  <w:num w:numId="14">
    <w:abstractNumId w:val="5"/>
  </w:num>
  <w:num w:numId="15">
    <w:abstractNumId w:val="2"/>
    <w:lvlOverride w:ilvl="0">
      <w:lvl w:ilvl="0">
        <w:numFmt w:val="decimal"/>
        <w:lvlText w:val="%1."/>
        <w:lvlJc w:val="left"/>
      </w:lvl>
    </w:lvlOverride>
  </w:num>
  <w:num w:numId="16">
    <w:abstractNumId w:val="16"/>
    <w:lvlOverride w:ilvl="0">
      <w:lvl w:ilvl="0">
        <w:numFmt w:val="lowerLetter"/>
        <w:lvlText w:val="%1."/>
        <w:lvlJc w:val="left"/>
      </w:lvl>
    </w:lvlOverride>
  </w:num>
  <w:num w:numId="17">
    <w:abstractNumId w:val="6"/>
  </w:num>
  <w:num w:numId="18">
    <w:abstractNumId w:val="4"/>
  </w:num>
  <w:num w:numId="19">
    <w:abstractNumId w:val="1"/>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5C0A2C"/>
    <w:rsid w:val="00677630"/>
    <w:rsid w:val="007E2831"/>
    <w:rsid w:val="008C66DF"/>
    <w:rsid w:val="009132E2"/>
    <w:rsid w:val="00925923"/>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DB7C1"/>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semiHidden/>
    <w:unhideWhenUsed/>
    <w:qFormat/>
    <w:rsid w:val="005C0A2C"/>
    <w:pPr>
      <w:keepNext/>
      <w:spacing w:after="0" w:line="240" w:lineRule="auto"/>
      <w:jc w:val="center"/>
      <w:outlineLvl w:val="1"/>
    </w:pPr>
    <w:rPr>
      <w:rFonts w:ascii="Arial" w:eastAsia="Times New Roman" w:hAnsi="Arial" w:cs="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 w:type="character" w:customStyle="1" w:styleId="Ttulo2Car">
    <w:name w:val="Título 2 Car"/>
    <w:basedOn w:val="Fuentedeprrafopredeter"/>
    <w:link w:val="Ttulo2"/>
    <w:semiHidden/>
    <w:rsid w:val="005C0A2C"/>
    <w:rPr>
      <w:rFonts w:ascii="Arial" w:eastAsia="Times New Roman" w:hAnsi="Arial" w:cs="Times New Roman"/>
      <w:b/>
      <w:sz w:val="24"/>
      <w:szCs w:val="20"/>
      <w:lang w:val="es-ES_tradnl" w:eastAsia="es-ES"/>
    </w:rPr>
  </w:style>
  <w:style w:type="character" w:styleId="Hipervnculo">
    <w:name w:val="Hyperlink"/>
    <w:basedOn w:val="Fuentedeprrafopredeter"/>
    <w:uiPriority w:val="99"/>
    <w:unhideWhenUsed/>
    <w:rsid w:val="005C0A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 w:id="383916499">
      <w:bodyDiv w:val="1"/>
      <w:marLeft w:val="0"/>
      <w:marRight w:val="0"/>
      <w:marTop w:val="0"/>
      <w:marBottom w:val="0"/>
      <w:divBdr>
        <w:top w:val="none" w:sz="0" w:space="0" w:color="auto"/>
        <w:left w:val="none" w:sz="0" w:space="0" w:color="auto"/>
        <w:bottom w:val="none" w:sz="0" w:space="0" w:color="auto"/>
        <w:right w:val="none" w:sz="0" w:space="0" w:color="auto"/>
      </w:divBdr>
    </w:div>
    <w:div w:id="59686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1939</Words>
  <Characters>10669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Juzgado Administrativo Transitorio 01</cp:lastModifiedBy>
  <cp:revision>2</cp:revision>
  <dcterms:created xsi:type="dcterms:W3CDTF">2021-09-06T16:21:00Z</dcterms:created>
  <dcterms:modified xsi:type="dcterms:W3CDTF">2021-09-06T16:21:00Z</dcterms:modified>
</cp:coreProperties>
</file>