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lang w:val="en-US" w:eastAsia="en-US"/>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4C78FF09"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C21B8D">
        <w:rPr>
          <w:rFonts w:ascii="Arial" w:eastAsia="Calibri" w:hAnsi="Arial" w:cs="Arial"/>
          <w:lang w:val="es-MX"/>
        </w:rPr>
        <w:t xml:space="preserve"> Beatriz Teresa Galvis Bustos</w:t>
      </w:r>
    </w:p>
    <w:p w14:paraId="5F7DBDD4" w14:textId="0FCD1242"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C21B8D">
        <w:rPr>
          <w:rFonts w:ascii="Arial" w:hAnsi="Arial" w:cs="Arial"/>
          <w:lang w:val="es-MX"/>
        </w:rPr>
        <w:t>30 de agosto</w:t>
      </w:r>
    </w:p>
    <w:p w14:paraId="75E84AC6" w14:textId="0361EF1F"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C21B8D">
        <w:rPr>
          <w:rFonts w:ascii="Arial" w:hAnsi="Arial" w:cs="Arial"/>
          <w:lang w:val="es-MX"/>
        </w:rPr>
        <w:t>Nulidad y restablecimiento</w:t>
      </w:r>
    </w:p>
    <w:p w14:paraId="6B89892F" w14:textId="0F3B8B1C"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C21B8D">
        <w:rPr>
          <w:rFonts w:ascii="Arial" w:hAnsi="Arial" w:cs="Arial"/>
          <w:lang w:val="es-MX"/>
        </w:rPr>
        <w:t xml:space="preserve"> Moralito Holguín </w:t>
      </w:r>
    </w:p>
    <w:p w14:paraId="1660C8A3" w14:textId="0BC4FA9A"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C21B8D">
        <w:rPr>
          <w:rFonts w:ascii="Arial" w:hAnsi="Arial" w:cs="Arial"/>
          <w:lang w:val="es-MX"/>
        </w:rPr>
        <w:t xml:space="preserve"> Fondo de pensiones y Ricardo León Barrios</w:t>
      </w:r>
    </w:p>
    <w:p w14:paraId="19FDD2BC" w14:textId="3C2F3B19" w:rsidR="00B713D2" w:rsidRPr="001F2D25" w:rsidRDefault="00B713D2" w:rsidP="00B713D2">
      <w:pPr>
        <w:pStyle w:val="Sinespaciado"/>
        <w:ind w:left="-1134"/>
        <w:rPr>
          <w:rFonts w:ascii="Arial" w:hAnsi="Arial" w:cs="Arial"/>
          <w:lang w:val="es-MX"/>
        </w:rPr>
      </w:pPr>
    </w:p>
    <w:p w14:paraId="398A2EA5" w14:textId="6442A38E"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2FC97878"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1B5DB999" w:rsidR="00CC64F1" w:rsidRPr="001F2D25" w:rsidRDefault="00CC64F1" w:rsidP="00B713D2">
            <w:pPr>
              <w:pStyle w:val="Sinespaciado"/>
              <w:rPr>
                <w:rFonts w:ascii="Arial" w:eastAsia="Calibri" w:hAnsi="Arial" w:cs="Arial"/>
                <w:lang w:val="es-MX"/>
              </w:rPr>
            </w:pPr>
          </w:p>
          <w:p w14:paraId="731519A5" w14:textId="7A43B12B"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6E6570B1" w:rsidR="002971BC" w:rsidRPr="001F2D25" w:rsidRDefault="002971BC" w:rsidP="000F105D">
            <w:pPr>
              <w:pStyle w:val="Sinespaciado"/>
              <w:rPr>
                <w:rFonts w:ascii="Arial" w:eastAsia="Calibri" w:hAnsi="Arial" w:cs="Arial"/>
                <w:lang w:val="es-MX"/>
              </w:rPr>
            </w:pPr>
          </w:p>
          <w:p w14:paraId="257D063B" w14:textId="4EC68914"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2FC81D0" w:rsidR="00222D4A" w:rsidRPr="001F2D25" w:rsidRDefault="00222D4A" w:rsidP="000F105D">
            <w:pPr>
              <w:pStyle w:val="Sinespaciado"/>
              <w:rPr>
                <w:rFonts w:ascii="Arial" w:eastAsia="Calibri" w:hAnsi="Arial" w:cs="Arial"/>
                <w:lang w:val="es-MX"/>
              </w:rPr>
            </w:pPr>
          </w:p>
          <w:p w14:paraId="5D249CA6" w14:textId="60E85BBF" w:rsidR="00222D4A" w:rsidRPr="001F2D25" w:rsidRDefault="00222D4A" w:rsidP="000F105D">
            <w:pPr>
              <w:pStyle w:val="Sinespaciado"/>
              <w:rPr>
                <w:rFonts w:ascii="Arial" w:eastAsia="Calibri" w:hAnsi="Arial" w:cs="Arial"/>
                <w:lang w:val="es-MX"/>
              </w:rPr>
            </w:pPr>
          </w:p>
          <w:p w14:paraId="609A72CE" w14:textId="4C6CDBD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6318D65C"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46E6F136" w:rsidR="00222D4A" w:rsidRPr="001F2D25" w:rsidRDefault="00222D4A" w:rsidP="00222D4A">
            <w:pPr>
              <w:pStyle w:val="Sinespaciado"/>
              <w:rPr>
                <w:rFonts w:ascii="Arial" w:eastAsia="Calibri" w:hAnsi="Arial" w:cs="Arial"/>
                <w:lang w:val="es-MX"/>
              </w:rPr>
            </w:pPr>
          </w:p>
          <w:p w14:paraId="4CC8C344" w14:textId="4CBF4532"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49421B3C" w:rsidR="00341FFF" w:rsidRPr="001F2D25" w:rsidRDefault="00C21B8D" w:rsidP="00222D4A">
            <w:pPr>
              <w:pStyle w:val="Sinespaciado"/>
              <w:rPr>
                <w:rFonts w:ascii="Arial" w:eastAsia="Calibri" w:hAnsi="Arial" w:cs="Arial"/>
                <w:lang w:val="es-MX"/>
              </w:rPr>
            </w:pPr>
            <w:r>
              <w:rPr>
                <w:rFonts w:ascii="Arial" w:eastAsia="Calibri" w:hAnsi="Arial" w:cs="Arial"/>
                <w:noProof/>
                <w:lang w:val="en-US" w:eastAsia="en-US"/>
              </w:rPr>
              <mc:AlternateContent>
                <mc:Choice Requires="wps">
                  <w:drawing>
                    <wp:anchor distT="0" distB="0" distL="114300" distR="114300" simplePos="0" relativeHeight="251713536" behindDoc="0" locked="0" layoutInCell="1" allowOverlap="1" wp14:anchorId="7270BBA0" wp14:editId="62C586CD">
                      <wp:simplePos x="0" y="0"/>
                      <wp:positionH relativeFrom="column">
                        <wp:posOffset>3451784</wp:posOffset>
                      </wp:positionH>
                      <wp:positionV relativeFrom="paragraph">
                        <wp:posOffset>152756</wp:posOffset>
                      </wp:positionV>
                      <wp:extent cx="285292" cy="153619"/>
                      <wp:effectExtent l="0" t="0" r="0" b="18415"/>
                      <wp:wrapNone/>
                      <wp:docPr id="1" name="Multiplicar 1"/>
                      <wp:cNvGraphicFramePr/>
                      <a:graphic xmlns:a="http://schemas.openxmlformats.org/drawingml/2006/main">
                        <a:graphicData uri="http://schemas.microsoft.com/office/word/2010/wordprocessingShape">
                          <wps:wsp>
                            <wps:cNvSpPr/>
                            <wps:spPr>
                              <a:xfrm>
                                <a:off x="0" y="0"/>
                                <a:ext cx="285292" cy="153619"/>
                              </a:xfrm>
                              <a:prstGeom prst="mathMultiply">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F1CA2" id="Multiplicar 1" o:spid="_x0000_s1026" style="position:absolute;margin-left:271.8pt;margin-top:12.05pt;width:22.45pt;height:12.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5292,15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" path="m59955,52802l77085,20989r65561,35302l208207,20989r17130,31813l180751,76810r44586,24007l208207,132630,142646,97328,77085,132630,59955,100817,104541,76810,59955,52802xe" fillcolor="black [3213]" strokecolor="black [3213]" strokeweight="1pt">
                      <v:stroke joinstyle="miter"/>
                      <v:path arrowok="t" o:connecttype="custom" o:connectlocs="59955,52802;77085,20989;142646,56291;208207,20989;225337,52802;180751,76810;225337,100817;208207,132630;142646,97328;77085,132630;59955,100817;104541,76810;59955,52802" o:connectangles="0,0,0,0,0,0,0,0,0,0,0,0,0"/>
                    </v:shape>
                  </w:pict>
                </mc:Fallback>
              </mc:AlternateContent>
            </w:r>
            <w:r w:rsidR="00341FFF" w:rsidRPr="001F2D25">
              <w:rPr>
                <w:rFonts w:ascii="Arial" w:eastAsia="Calibri" w:hAnsi="Arial" w:cs="Arial"/>
                <w:noProof/>
                <w:lang w:val="en-US" w:eastAsia="en-US"/>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lang w:val="en-US" w:eastAsia="en-US"/>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lang w:val="en-US" w:eastAsia="en-US"/>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lang w:val="en-US" w:eastAsia="en-US"/>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40E0725B" w:rsidR="00ED4ECD" w:rsidRPr="00AE5DDF" w:rsidRDefault="00AE5DDF" w:rsidP="00ED4ECD">
      <w:pPr>
        <w:rPr>
          <w:rFonts w:ascii="Arial" w:hAnsi="Arial" w:cs="Arial"/>
          <w:b/>
        </w:rPr>
      </w:pPr>
      <w:r w:rsidRPr="00AE5DDF">
        <w:rPr>
          <w:rFonts w:ascii="Arial" w:hAnsi="Arial" w:cs="Arial"/>
          <w:b/>
        </w:rPr>
        <w:t xml:space="preserve">Consideraciones de la </w:t>
      </w:r>
      <w:r w:rsidR="00C21B8D" w:rsidRPr="00AE5DDF">
        <w:rPr>
          <w:rFonts w:ascii="Arial" w:hAnsi="Arial" w:cs="Arial"/>
          <w:b/>
        </w:rPr>
        <w:t>PROVIDENCIA A EMITIR en los términos del artículo 182 A</w:t>
      </w:r>
    </w:p>
    <w:p w14:paraId="341CB10B" w14:textId="0903E187" w:rsidR="002F7D1D" w:rsidRDefault="00C21B8D" w:rsidP="00C21B8D">
      <w:pPr>
        <w:jc w:val="both"/>
        <w:rPr>
          <w:rFonts w:ascii="Arial" w:hAnsi="Arial" w:cs="Arial"/>
        </w:rPr>
      </w:pPr>
      <w:r>
        <w:rPr>
          <w:rFonts w:ascii="Arial" w:hAnsi="Arial" w:cs="Arial"/>
        </w:rPr>
        <w:t xml:space="preserve">En el caso de la demanda del señor MORALITO HOLGUIN VALENCIA </w:t>
      </w:r>
      <w:r w:rsidR="00AE5DDF">
        <w:rPr>
          <w:rFonts w:ascii="Arial" w:hAnsi="Arial" w:cs="Arial"/>
        </w:rPr>
        <w:t>(</w:t>
      </w:r>
      <w:r>
        <w:rPr>
          <w:rFonts w:ascii="Arial" w:hAnsi="Arial" w:cs="Arial"/>
        </w:rPr>
        <w:t>entendiéndose que se subsanó la indebida acumulación de pretensiones y que se pretende la nulidad de los actos administrativos que negaron al demandante la pensión de invalidez</w:t>
      </w:r>
      <w:r w:rsidR="00AE5DDF">
        <w:rPr>
          <w:rFonts w:ascii="Arial" w:hAnsi="Arial" w:cs="Arial"/>
        </w:rPr>
        <w:t>)</w:t>
      </w:r>
      <w:r>
        <w:rPr>
          <w:rFonts w:ascii="Arial" w:hAnsi="Arial" w:cs="Arial"/>
        </w:rPr>
        <w:t>, es procedente adelanta</w:t>
      </w:r>
      <w:r w:rsidR="00AE5DDF">
        <w:rPr>
          <w:rFonts w:ascii="Arial" w:hAnsi="Arial" w:cs="Arial"/>
        </w:rPr>
        <w:t>r</w:t>
      </w:r>
      <w:r>
        <w:rPr>
          <w:rFonts w:ascii="Arial" w:hAnsi="Arial" w:cs="Arial"/>
        </w:rPr>
        <w:t xml:space="preserve"> el trámite previsto en el numeral 01 del artículo 182 A</w:t>
      </w:r>
      <w:r w:rsidR="00AE5DDF">
        <w:rPr>
          <w:rFonts w:ascii="Arial" w:hAnsi="Arial" w:cs="Arial"/>
        </w:rPr>
        <w:t>,</w:t>
      </w:r>
      <w:r>
        <w:rPr>
          <w:rFonts w:ascii="Arial" w:hAnsi="Arial" w:cs="Arial"/>
        </w:rPr>
        <w:t xml:space="preserve"> específicamente literales A y B, y para ello previamente se establece a través de auto que se tendrá como pruebas las </w:t>
      </w:r>
      <w:r>
        <w:rPr>
          <w:rFonts w:ascii="Arial" w:hAnsi="Arial" w:cs="Arial"/>
        </w:rPr>
        <w:lastRenderedPageBreak/>
        <w:t xml:space="preserve">documentales aportadas por las partes y la prueba pericial relativa al dictamen de Junta de Calificación de Invalidez practicada al demandante, señalando que las demás pruebas como testimonial e interrogatorio de parte resultan inútiles e innecesarias  porque el tema relativo a la pensión de invalidez se constituye en un asunto de puro derecho que además no requiere pruebas distintas a las documentales y pericial. </w:t>
      </w:r>
    </w:p>
    <w:p w14:paraId="5D121143" w14:textId="5EF1E2A7" w:rsidR="00AE5DDF" w:rsidRDefault="00AE5DDF" w:rsidP="00C21B8D">
      <w:pPr>
        <w:jc w:val="both"/>
        <w:rPr>
          <w:rFonts w:ascii="Arial" w:hAnsi="Arial" w:cs="Arial"/>
        </w:rPr>
      </w:pPr>
      <w:r>
        <w:rPr>
          <w:rFonts w:ascii="Arial" w:hAnsi="Arial" w:cs="Arial"/>
        </w:rPr>
        <w:t>Por otra parte</w:t>
      </w:r>
      <w:r w:rsidR="000C740E">
        <w:rPr>
          <w:rFonts w:ascii="Arial" w:hAnsi="Arial" w:cs="Arial"/>
        </w:rPr>
        <w:t>,</w:t>
      </w:r>
      <w:bookmarkStart w:id="0" w:name="_GoBack"/>
      <w:bookmarkEnd w:id="0"/>
      <w:r>
        <w:rPr>
          <w:rFonts w:ascii="Arial" w:hAnsi="Arial" w:cs="Arial"/>
        </w:rPr>
        <w:t xml:space="preserve"> se fija el litigio en el sentido de establecer si hay lugar a declarar la nulidad de la Resolución Mo.0121 del 13 de agosto de 2021, que negó al señor MORALITO HOLGUIN VALENCIA el reconocimiento y pago de una pensión de invalidez y de la Resolución No.524 de 2022 que confirmó la anterior, proferidas por el Fondo de Pensiones del Estado. Por otra parte</w:t>
      </w:r>
      <w:r w:rsidR="000C740E">
        <w:rPr>
          <w:rFonts w:ascii="Arial" w:hAnsi="Arial" w:cs="Arial"/>
        </w:rPr>
        <w:t>,</w:t>
      </w:r>
      <w:r>
        <w:rPr>
          <w:rFonts w:ascii="Arial" w:hAnsi="Arial" w:cs="Arial"/>
        </w:rPr>
        <w:t xml:space="preserve"> y de prosperar lo anterior se dilucidará si el fondo de pensiones del estado debe reconocer y pagar al demandante la pensión de invalidez a partir del 13 de marzo de 2020. </w:t>
      </w:r>
    </w:p>
    <w:p w14:paraId="6110344F" w14:textId="5F16866D" w:rsidR="00AE5DDF" w:rsidRDefault="00AE5DDF" w:rsidP="00C21B8D">
      <w:pPr>
        <w:jc w:val="both"/>
        <w:rPr>
          <w:rFonts w:ascii="Arial" w:hAnsi="Arial" w:cs="Arial"/>
        </w:rPr>
      </w:pPr>
      <w:r>
        <w:rPr>
          <w:rFonts w:ascii="Arial" w:hAnsi="Arial" w:cs="Arial"/>
        </w:rPr>
        <w:t>RESUELVE</w:t>
      </w:r>
    </w:p>
    <w:p w14:paraId="7E2FF03D" w14:textId="6BB01BD0" w:rsidR="00AE5DDF" w:rsidRDefault="00AE5DDF" w:rsidP="00C21B8D">
      <w:pPr>
        <w:jc w:val="both"/>
        <w:rPr>
          <w:rFonts w:ascii="Arial" w:hAnsi="Arial" w:cs="Arial"/>
        </w:rPr>
      </w:pPr>
      <w:r>
        <w:rPr>
          <w:rFonts w:ascii="Arial" w:hAnsi="Arial" w:cs="Arial"/>
        </w:rPr>
        <w:t>Primero: Tener como pruebas las documentales presentadas por las partes y el dictamen pericial allegado por la parte actora.</w:t>
      </w:r>
    </w:p>
    <w:p w14:paraId="0763CF14" w14:textId="1CC63C3F" w:rsidR="00AE5DDF" w:rsidRDefault="00AE5DDF" w:rsidP="00C21B8D">
      <w:pPr>
        <w:jc w:val="both"/>
        <w:rPr>
          <w:rFonts w:ascii="Arial" w:hAnsi="Arial" w:cs="Arial"/>
        </w:rPr>
      </w:pPr>
      <w:r>
        <w:rPr>
          <w:rFonts w:ascii="Arial" w:hAnsi="Arial" w:cs="Arial"/>
        </w:rPr>
        <w:t>Segundo: Negar la prueba testimonial solicitada por cuanto resulta innecesaria dado que el asunto es de puro derecho.</w:t>
      </w:r>
    </w:p>
    <w:p w14:paraId="7C01FD2C" w14:textId="5559638E" w:rsidR="00AE5DDF" w:rsidRDefault="00AE5DDF" w:rsidP="00C21B8D">
      <w:pPr>
        <w:jc w:val="both"/>
        <w:rPr>
          <w:rFonts w:ascii="Arial" w:hAnsi="Arial" w:cs="Arial"/>
        </w:rPr>
      </w:pPr>
      <w:r>
        <w:rPr>
          <w:rFonts w:ascii="Arial" w:hAnsi="Arial" w:cs="Arial"/>
        </w:rPr>
        <w:t>Tercero: Fijar el litigio en los términos señalados en la parte considerativa.</w:t>
      </w:r>
    </w:p>
    <w:p w14:paraId="614D3113" w14:textId="45CD88AB" w:rsidR="00AE5DDF" w:rsidRDefault="00AE5DDF" w:rsidP="00C21B8D">
      <w:pPr>
        <w:jc w:val="both"/>
        <w:rPr>
          <w:rFonts w:ascii="Arial" w:hAnsi="Arial" w:cs="Arial"/>
        </w:rPr>
      </w:pPr>
    </w:p>
    <w:p w14:paraId="0C1D78F7" w14:textId="77777777" w:rsidR="00AE5DDF" w:rsidRDefault="00AE5DDF" w:rsidP="00C21B8D">
      <w:pPr>
        <w:jc w:val="both"/>
        <w:rPr>
          <w:rFonts w:ascii="Arial" w:hAnsi="Arial" w:cs="Arial"/>
        </w:rPr>
      </w:pPr>
      <w:r>
        <w:rPr>
          <w:rFonts w:ascii="Arial" w:hAnsi="Arial" w:cs="Arial"/>
        </w:rPr>
        <w:t xml:space="preserve">Notifíquese. </w:t>
      </w:r>
    </w:p>
    <w:p w14:paraId="617B7F85" w14:textId="77777777" w:rsidR="00AE5DDF" w:rsidRDefault="00AE5DDF" w:rsidP="00C21B8D">
      <w:pPr>
        <w:jc w:val="both"/>
        <w:rPr>
          <w:rFonts w:ascii="Arial" w:hAnsi="Arial" w:cs="Arial"/>
        </w:rPr>
      </w:pPr>
    </w:p>
    <w:p w14:paraId="7900F4FE" w14:textId="72E8ABAE" w:rsidR="00AE5DDF" w:rsidRPr="001F2D25" w:rsidRDefault="00AE5DDF" w:rsidP="00C21B8D">
      <w:pPr>
        <w:jc w:val="both"/>
        <w:rPr>
          <w:rFonts w:ascii="Arial" w:hAnsi="Arial" w:cs="Arial"/>
        </w:rPr>
      </w:pPr>
      <w:r>
        <w:rPr>
          <w:rFonts w:ascii="Arial" w:hAnsi="Arial" w:cs="Arial"/>
        </w:rPr>
        <w:t>El Juez Administrativo del Circuito de Tomalotuyo .</w:t>
      </w:r>
    </w:p>
    <w:sectPr w:rsidR="00AE5DDF"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1840C7" w14:textId="77777777" w:rsidR="00443637" w:rsidRDefault="00443637">
      <w:pPr>
        <w:spacing w:after="0" w:line="240" w:lineRule="auto"/>
      </w:pPr>
      <w:r>
        <w:separator/>
      </w:r>
    </w:p>
  </w:endnote>
  <w:endnote w:type="continuationSeparator" w:id="0">
    <w:p w14:paraId="3BA77117" w14:textId="77777777" w:rsidR="00443637" w:rsidRDefault="004436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SimSun"/>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586E939E" w14:textId="450A46C9" w:rsidR="00224C42" w:rsidRDefault="00F57547">
        <w:pPr>
          <w:pStyle w:val="Piedepgina"/>
          <w:jc w:val="right"/>
        </w:pPr>
        <w:r>
          <w:fldChar w:fldCharType="begin"/>
        </w:r>
        <w:r>
          <w:instrText>PAGE   \* MERGEFORMAT</w:instrText>
        </w:r>
        <w:r>
          <w:fldChar w:fldCharType="separate"/>
        </w:r>
        <w:r w:rsidR="000C740E" w:rsidRPr="000C740E">
          <w:rPr>
            <w:noProof/>
            <w:lang w:val="es-ES"/>
          </w:rPr>
          <w:t>4</w:t>
        </w:r>
        <w:r>
          <w:fldChar w:fldCharType="end"/>
        </w:r>
      </w:p>
    </w:sdtContent>
  </w:sdt>
  <w:p w14:paraId="2521E8EB" w14:textId="77777777" w:rsidR="00224C42" w:rsidRDefault="00443637">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65574588" w14:textId="08BCAAD2" w:rsidR="00224C42" w:rsidRDefault="00F57547">
        <w:pPr>
          <w:pStyle w:val="Piedepgina"/>
          <w:jc w:val="right"/>
        </w:pPr>
        <w:r>
          <w:fldChar w:fldCharType="begin"/>
        </w:r>
        <w:r>
          <w:instrText>PAGE   \* MERGEFORMAT</w:instrText>
        </w:r>
        <w:r>
          <w:fldChar w:fldCharType="separate"/>
        </w:r>
        <w:r w:rsidR="000C740E" w:rsidRPr="000C740E">
          <w:rPr>
            <w:noProof/>
            <w:lang w:val="es-ES"/>
          </w:rPr>
          <w:t>1</w:t>
        </w:r>
        <w:r>
          <w:fldChar w:fldCharType="end"/>
        </w:r>
      </w:p>
    </w:sdtContent>
  </w:sdt>
  <w:p w14:paraId="60134C65" w14:textId="77777777" w:rsidR="00224C42" w:rsidRDefault="0044363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1C937A" w14:textId="77777777" w:rsidR="00443637" w:rsidRDefault="00443637">
      <w:pPr>
        <w:spacing w:after="0" w:line="240" w:lineRule="auto"/>
      </w:pPr>
      <w:r>
        <w:separator/>
      </w:r>
    </w:p>
  </w:footnote>
  <w:footnote w:type="continuationSeparator" w:id="0">
    <w:p w14:paraId="77ECAF09" w14:textId="77777777" w:rsidR="00443637" w:rsidRDefault="004436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C740E"/>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43637"/>
    <w:rsid w:val="00462075"/>
    <w:rsid w:val="004C270A"/>
    <w:rsid w:val="00532C33"/>
    <w:rsid w:val="00565605"/>
    <w:rsid w:val="00591BD3"/>
    <w:rsid w:val="005B3ECD"/>
    <w:rsid w:val="005C690E"/>
    <w:rsid w:val="005D343D"/>
    <w:rsid w:val="006E320B"/>
    <w:rsid w:val="00764314"/>
    <w:rsid w:val="007D59E3"/>
    <w:rsid w:val="00823B31"/>
    <w:rsid w:val="00857522"/>
    <w:rsid w:val="00926ADA"/>
    <w:rsid w:val="00965363"/>
    <w:rsid w:val="0096597C"/>
    <w:rsid w:val="009E3199"/>
    <w:rsid w:val="00A461DF"/>
    <w:rsid w:val="00A62E46"/>
    <w:rsid w:val="00AE5DDF"/>
    <w:rsid w:val="00B47DA4"/>
    <w:rsid w:val="00B713D2"/>
    <w:rsid w:val="00C21B8D"/>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399A8-BBDF-4F7D-828F-F84115176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1161</Words>
  <Characters>6619</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JOSE FERNANDO DUARTE PEREZ</cp:lastModifiedBy>
  <cp:revision>2</cp:revision>
  <dcterms:created xsi:type="dcterms:W3CDTF">2021-09-04T18:06:00Z</dcterms:created>
  <dcterms:modified xsi:type="dcterms:W3CDTF">2021-09-04T18:06:00Z</dcterms:modified>
</cp:coreProperties>
</file>