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11C" w:rsidRPr="0072211C" w:rsidRDefault="0072211C" w:rsidP="0072211C">
      <w:pPr>
        <w:spacing w:after="0" w:line="240" w:lineRule="auto"/>
        <w:jc w:val="center"/>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ESCUELA JUDICIAL RODRIGO LARA BONILLA</w:t>
      </w:r>
    </w:p>
    <w:p w:rsidR="0072211C" w:rsidRPr="0072211C" w:rsidRDefault="0072211C" w:rsidP="0072211C">
      <w:pPr>
        <w:spacing w:after="0" w:line="240" w:lineRule="auto"/>
        <w:jc w:val="center"/>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LISTA DE CHEQUEO – ADOPCIÓN DE MEDIDAS PARA DICTAR SENTENCIA ANTICIPADA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DISPOSICIONES A APLICAR </w:t>
      </w:r>
    </w:p>
    <w:p w:rsidR="0072211C" w:rsidRPr="0072211C" w:rsidRDefault="0072211C" w:rsidP="0072211C">
      <w:pPr>
        <w:pBdr>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t> </w:t>
      </w:r>
    </w:p>
    <w:p w:rsidR="0072211C" w:rsidRPr="0072211C" w:rsidRDefault="0072211C" w:rsidP="0072211C">
      <w:pPr>
        <w:pBdr>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Artículo 38 L. 2080 de 2021 (Parágrafo 2° del artículo 175 del CPACA)</w:t>
      </w:r>
    </w:p>
    <w:p w:rsidR="0072211C" w:rsidRPr="0072211C" w:rsidRDefault="0072211C" w:rsidP="0072211C">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Artículo 42 L. 2080 de 2021 (adiciona 182A al CPACA)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xml:space="preserve">Elaborada por: </w:t>
      </w:r>
      <w:r>
        <w:rPr>
          <w:rFonts w:ascii="Arial" w:eastAsia="Times New Roman" w:hAnsi="Arial" w:cs="Arial"/>
          <w:color w:val="000000"/>
          <w:lang w:val="es-CO" w:eastAsia="es-CO"/>
        </w:rPr>
        <w:t xml:space="preserve">Eva </w:t>
      </w:r>
      <w:r w:rsidR="008D4395">
        <w:rPr>
          <w:rFonts w:ascii="Arial" w:eastAsia="Times New Roman" w:hAnsi="Arial" w:cs="Arial"/>
          <w:color w:val="000000"/>
          <w:lang w:val="es-CO" w:eastAsia="es-CO"/>
        </w:rPr>
        <w:t>María</w:t>
      </w:r>
      <w:r>
        <w:rPr>
          <w:rFonts w:ascii="Arial" w:eastAsia="Times New Roman" w:hAnsi="Arial" w:cs="Arial"/>
          <w:color w:val="000000"/>
          <w:lang w:val="es-CO" w:eastAsia="es-CO"/>
        </w:rPr>
        <w:t xml:space="preserve"> Vasquez Catalan </w:t>
      </w:r>
    </w:p>
    <w:p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Fecha: </w:t>
      </w:r>
      <w:r>
        <w:rPr>
          <w:rFonts w:ascii="Arial" w:eastAsia="Times New Roman" w:hAnsi="Arial" w:cs="Arial"/>
          <w:color w:val="000000"/>
          <w:lang w:val="es-CO" w:eastAsia="es-CO"/>
        </w:rPr>
        <w:t>3</w:t>
      </w:r>
      <w:r w:rsidRPr="0072211C">
        <w:rPr>
          <w:rFonts w:ascii="Arial" w:eastAsia="Times New Roman" w:hAnsi="Arial" w:cs="Arial"/>
          <w:color w:val="000000"/>
          <w:lang w:val="es-CO" w:eastAsia="es-CO"/>
        </w:rPr>
        <w:t>/08/2021 </w:t>
      </w:r>
    </w:p>
    <w:p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Medio de control: Nulidad y Restablecimiento del Derecho</w:t>
      </w:r>
    </w:p>
    <w:p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xml:space="preserve">Demandante: </w:t>
      </w:r>
      <w:r w:rsidRPr="0072211C">
        <w:rPr>
          <w:rFonts w:ascii="Arial" w:eastAsia="Times New Roman" w:hAnsi="Arial" w:cs="Arial"/>
          <w:color w:val="000000"/>
          <w:lang w:val="es-CO" w:eastAsia="es-CO"/>
        </w:rPr>
        <w:t>BILMARIS JUDITH MENDOZA GUTIERREZ</w:t>
      </w:r>
    </w:p>
    <w:p w:rsidR="0072211C" w:rsidRPr="0072211C" w:rsidRDefault="0072211C" w:rsidP="0072211C">
      <w:pPr>
        <w:spacing w:after="0" w:line="240" w:lineRule="auto"/>
        <w:ind w:left="-1134"/>
        <w:rPr>
          <w:rFonts w:ascii="Arial" w:eastAsia="Times New Roman" w:hAnsi="Arial" w:cs="Arial"/>
          <w:color w:val="000000"/>
          <w:lang w:val="es-CO" w:eastAsia="es-CO"/>
        </w:rPr>
      </w:pPr>
      <w:r w:rsidRPr="0072211C">
        <w:rPr>
          <w:rFonts w:ascii="Arial" w:eastAsia="Times New Roman" w:hAnsi="Arial" w:cs="Arial"/>
          <w:color w:val="000000"/>
          <w:lang w:val="es-CO" w:eastAsia="es-CO"/>
        </w:rPr>
        <w:t xml:space="preserve">Demandado: </w:t>
      </w:r>
      <w:r w:rsidRPr="0072211C">
        <w:rPr>
          <w:rFonts w:ascii="Arial" w:eastAsia="Times New Roman" w:hAnsi="Arial" w:cs="Arial"/>
          <w:color w:val="000000"/>
          <w:lang w:val="es-CO" w:eastAsia="es-CO"/>
        </w:rPr>
        <w:t>MUNICIPIO DE SITIONUEVO</w:t>
      </w:r>
    </w:p>
    <w:p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xml:space="preserve">Radicado: </w:t>
      </w:r>
      <w:r w:rsidRPr="0072211C">
        <w:rPr>
          <w:rFonts w:ascii="Arial" w:eastAsia="Times New Roman" w:hAnsi="Arial" w:cs="Arial"/>
          <w:color w:val="000000"/>
          <w:lang w:val="es-CO" w:eastAsia="es-CO"/>
        </w:rPr>
        <w:t>47001333300920200005300</w:t>
      </w:r>
    </w:p>
    <w:p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72211C" w:rsidRPr="0072211C"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211C" w:rsidRPr="0072211C" w:rsidRDefault="0072211C" w:rsidP="0072211C">
            <w:pPr>
              <w:spacing w:after="0" w:line="240" w:lineRule="auto"/>
              <w:ind w:left="27"/>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VERIFICACIÓN DE REGLAS PROCESALES PARA EMISIÓN DE SENTENCIA ANTICIPADA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Verifique que el término de traslado de la demanda se encuentra vencido y que no hay excepciones previas que resolver o no se advierta el incumplimiento de requisitos de procedibilidad.</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(Arts. 172, 175, 199 del CPACA)</w:t>
            </w:r>
          </w:p>
          <w:p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p w:rsidR="0072211C" w:rsidRDefault="0072211C" w:rsidP="0072211C">
            <w:pPr>
              <w:spacing w:after="240" w:line="240" w:lineRule="auto"/>
              <w:rPr>
                <w:rFonts w:ascii="Times New Roman" w:eastAsia="Times New Roman" w:hAnsi="Times New Roman" w:cs="Times New Roman"/>
                <w:b/>
                <w:sz w:val="24"/>
                <w:szCs w:val="24"/>
                <w:lang w:val="es-CO" w:eastAsia="es-CO"/>
              </w:rPr>
            </w:pPr>
            <w:r w:rsidRPr="0072211C">
              <w:rPr>
                <w:rFonts w:ascii="Times New Roman" w:eastAsia="Times New Roman" w:hAnsi="Times New Roman" w:cs="Times New Roman"/>
                <w:sz w:val="24"/>
                <w:szCs w:val="24"/>
                <w:lang w:val="es-CO" w:eastAsia="es-CO"/>
              </w:rPr>
              <w:t>R</w:t>
            </w:r>
            <w:r w:rsidRPr="0072211C">
              <w:rPr>
                <w:rFonts w:ascii="Times New Roman" w:eastAsia="Times New Roman" w:hAnsi="Times New Roman" w:cs="Times New Roman"/>
                <w:b/>
                <w:sz w:val="24"/>
                <w:szCs w:val="24"/>
                <w:lang w:val="es-CO" w:eastAsia="es-CO"/>
              </w:rPr>
              <w:t>/</w:t>
            </w:r>
            <w:proofErr w:type="gramStart"/>
            <w:r w:rsidRPr="0072211C">
              <w:rPr>
                <w:rFonts w:ascii="Times New Roman" w:eastAsia="Times New Roman" w:hAnsi="Times New Roman" w:cs="Times New Roman"/>
                <w:b/>
                <w:sz w:val="24"/>
                <w:szCs w:val="24"/>
                <w:lang w:val="es-CO" w:eastAsia="es-CO"/>
              </w:rPr>
              <w:t xml:space="preserve">/ </w:t>
            </w:r>
            <w:r>
              <w:rPr>
                <w:rFonts w:ascii="Times New Roman" w:eastAsia="Times New Roman" w:hAnsi="Times New Roman" w:cs="Times New Roman"/>
                <w:b/>
                <w:sz w:val="24"/>
                <w:szCs w:val="24"/>
                <w:lang w:val="es-CO" w:eastAsia="es-CO"/>
              </w:rPr>
              <w:t xml:space="preserve"> El</w:t>
            </w:r>
            <w:proofErr w:type="gramEnd"/>
            <w:r>
              <w:rPr>
                <w:rFonts w:ascii="Times New Roman" w:eastAsia="Times New Roman" w:hAnsi="Times New Roman" w:cs="Times New Roman"/>
                <w:b/>
                <w:sz w:val="24"/>
                <w:szCs w:val="24"/>
                <w:lang w:val="es-CO" w:eastAsia="es-CO"/>
              </w:rPr>
              <w:t xml:space="preserve"> </w:t>
            </w:r>
            <w:r w:rsidR="00225FE0">
              <w:rPr>
                <w:rFonts w:ascii="Times New Roman" w:eastAsia="Times New Roman" w:hAnsi="Times New Roman" w:cs="Times New Roman"/>
                <w:b/>
                <w:sz w:val="24"/>
                <w:szCs w:val="24"/>
                <w:lang w:val="es-CO" w:eastAsia="es-CO"/>
              </w:rPr>
              <w:t>término</w:t>
            </w:r>
            <w:r>
              <w:rPr>
                <w:rFonts w:ascii="Times New Roman" w:eastAsia="Times New Roman" w:hAnsi="Times New Roman" w:cs="Times New Roman"/>
                <w:b/>
                <w:sz w:val="24"/>
                <w:szCs w:val="24"/>
                <w:lang w:val="es-CO" w:eastAsia="es-CO"/>
              </w:rPr>
              <w:t xml:space="preserve"> de la demanda de la referencia esta vencido .</w:t>
            </w:r>
          </w:p>
          <w:p w:rsidR="0072211C" w:rsidRPr="0072211C" w:rsidRDefault="0072211C" w:rsidP="0072211C">
            <w:pPr>
              <w:spacing w:after="240" w:line="240" w:lineRule="auto"/>
              <w:rPr>
                <w:rFonts w:ascii="Times New Roman" w:eastAsia="Times New Roman" w:hAnsi="Times New Roman" w:cs="Times New Roman"/>
                <w:b/>
                <w:sz w:val="24"/>
                <w:szCs w:val="24"/>
                <w:lang w:val="es-CO" w:eastAsia="es-CO"/>
              </w:rPr>
            </w:pPr>
            <w:r>
              <w:rPr>
                <w:rFonts w:ascii="Times New Roman" w:eastAsia="Times New Roman" w:hAnsi="Times New Roman" w:cs="Times New Roman"/>
                <w:b/>
                <w:sz w:val="24"/>
                <w:szCs w:val="24"/>
                <w:lang w:val="es-CO" w:eastAsia="es-CO"/>
              </w:rPr>
              <w:t xml:space="preserve">No hay </w:t>
            </w:r>
            <w:r w:rsidRPr="0072211C">
              <w:rPr>
                <w:rFonts w:ascii="Times New Roman" w:eastAsia="Times New Roman" w:hAnsi="Times New Roman" w:cs="Times New Roman"/>
                <w:b/>
                <w:sz w:val="24"/>
                <w:szCs w:val="24"/>
                <w:lang w:val="es-CO" w:eastAsia="es-CO"/>
              </w:rPr>
              <w:t xml:space="preserve">excepciones previas </w:t>
            </w:r>
            <w:r>
              <w:rPr>
                <w:rFonts w:ascii="Times New Roman" w:eastAsia="Times New Roman" w:hAnsi="Times New Roman" w:cs="Times New Roman"/>
                <w:b/>
                <w:sz w:val="24"/>
                <w:szCs w:val="24"/>
                <w:lang w:val="es-CO" w:eastAsia="es-CO"/>
              </w:rPr>
              <w:t xml:space="preserve">por resolver, toda vez que la demandada </w:t>
            </w:r>
            <w:r w:rsidRPr="0072211C">
              <w:rPr>
                <w:rFonts w:ascii="Times New Roman" w:eastAsia="Times New Roman" w:hAnsi="Times New Roman" w:cs="Times New Roman"/>
                <w:b/>
                <w:sz w:val="24"/>
                <w:szCs w:val="24"/>
                <w:lang w:val="es-CO" w:eastAsia="es-CO"/>
              </w:rPr>
              <w:t>no propuso</w:t>
            </w:r>
            <w:r>
              <w:rPr>
                <w:rFonts w:ascii="Times New Roman" w:eastAsia="Times New Roman" w:hAnsi="Times New Roman" w:cs="Times New Roman"/>
                <w:b/>
                <w:sz w:val="24"/>
                <w:szCs w:val="24"/>
                <w:lang w:val="es-CO" w:eastAsia="es-CO"/>
              </w:rPr>
              <w:t xml:space="preserve"> excepciones previas, y tampoco lo hizo el ministerio público.</w:t>
            </w: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sz w:val="18"/>
                <w:szCs w:val="18"/>
                <w:lang w:val="es-CO" w:eastAsia="es-CO"/>
              </w:rPr>
              <w:t>Nota:</w:t>
            </w:r>
            <w:r w:rsidRPr="0072211C">
              <w:rPr>
                <w:rFonts w:ascii="Arial" w:eastAsia="Times New Roman" w:hAnsi="Arial" w:cs="Arial"/>
                <w:i/>
                <w:iCs/>
                <w:color w:val="000000"/>
                <w:lang w:val="es-CO" w:eastAsia="es-CO"/>
              </w:rPr>
              <w:t xml:space="preserve"> </w:t>
            </w:r>
            <w:r w:rsidRPr="0072211C">
              <w:rPr>
                <w:rFonts w:ascii="Arial" w:eastAsia="Times New Roman" w:hAnsi="Arial" w:cs="Arial"/>
                <w:i/>
                <w:iCs/>
                <w:color w:val="000000"/>
                <w:sz w:val="18"/>
                <w:szCs w:val="18"/>
                <w:lang w:val="es-CO" w:eastAsia="es-CO"/>
              </w:rPr>
              <w:t>para posibilitar que se pueda proferir sentencia anticipada, es necesario agotar de manera previa varios trámites dispuestos en el artículo 182A, esto es, las medidas que se señalan a continuación</w:t>
            </w:r>
            <w:r w:rsidRPr="0072211C">
              <w:rPr>
                <w:rFonts w:ascii="Arial" w:eastAsia="Times New Roman" w:hAnsi="Arial" w:cs="Arial"/>
                <w:i/>
                <w:iCs/>
                <w:color w:val="000000"/>
                <w:lang w:val="es-CO" w:eastAsia="es-CO"/>
              </w:rPr>
              <w:t>. </w:t>
            </w:r>
          </w:p>
        </w:tc>
      </w:tr>
      <w:tr w:rsidR="0072211C" w:rsidRPr="0072211C"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211C" w:rsidRPr="0072211C" w:rsidRDefault="0072211C" w:rsidP="0072211C">
            <w:pPr>
              <w:numPr>
                <w:ilvl w:val="0"/>
                <w:numId w:val="1"/>
              </w:numPr>
              <w:spacing w:after="0" w:line="240" w:lineRule="auto"/>
              <w:ind w:left="387"/>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t>SENTENCIA ANTICIPADA ANTES DE LA AUDIENCIA INICIAL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(Numeral 1° del artículo 182A del CPACA)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a</w:t>
            </w:r>
            <w:r w:rsidRPr="0072211C">
              <w:rPr>
                <w:rFonts w:ascii="Arial" w:eastAsia="Times New Roman" w:hAnsi="Arial" w:cs="Arial"/>
                <w:i/>
                <w:iCs/>
                <w:color w:val="000000"/>
                <w:lang w:val="es-CO" w:eastAsia="es-CO"/>
              </w:rPr>
              <w:t>) Cuando se trate de asuntos de puro derecho; _</w:t>
            </w:r>
            <w:r>
              <w:rPr>
                <w:rFonts w:ascii="MS Gothic" w:eastAsia="MS Gothic" w:hAnsi="MS Gothic" w:cs="MS Gothic" w:hint="eastAsia"/>
                <w:color w:val="363636"/>
                <w:sz w:val="36"/>
                <w:szCs w:val="36"/>
                <w:shd w:val="clear" w:color="auto" w:fill="FFFFFF"/>
                <w:lang w:val="es-CO"/>
              </w:rPr>
              <w:t>x</w:t>
            </w:r>
            <w:r w:rsidRPr="0072211C">
              <w:rPr>
                <w:rFonts w:ascii="Arial" w:eastAsia="Times New Roman" w:hAnsi="Arial" w:cs="Arial"/>
                <w:i/>
                <w:iCs/>
                <w:color w:val="000000"/>
                <w:lang w:val="es-CO" w:eastAsia="es-CO"/>
              </w:rPr>
              <w:t>_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b)</w:t>
            </w:r>
            <w:r w:rsidRPr="0072211C">
              <w:rPr>
                <w:rFonts w:ascii="Arial" w:eastAsia="Times New Roman" w:hAnsi="Arial" w:cs="Arial"/>
                <w:i/>
                <w:iCs/>
                <w:color w:val="000000"/>
                <w:lang w:val="es-CO" w:eastAsia="es-CO"/>
              </w:rPr>
              <w:t xml:space="preserve"> Cuando no haya que practicar pruebas; _____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c)</w:t>
            </w:r>
            <w:r w:rsidRPr="0072211C">
              <w:rPr>
                <w:rFonts w:ascii="Arial" w:eastAsia="Times New Roman" w:hAnsi="Arial" w:cs="Arial"/>
                <w:i/>
                <w:iCs/>
                <w:color w:val="000000"/>
                <w:lang w:val="es-CO" w:eastAsia="es-CO"/>
              </w:rPr>
              <w:t xml:space="preserve"> Cuando solo se solicite tener como pruebas las documentales aportadas con la demanda y la contestación, y sobre ellas no</w:t>
            </w:r>
            <w:bookmarkStart w:id="0" w:name="_GoBack"/>
            <w:bookmarkEnd w:id="0"/>
            <w:r w:rsidRPr="0072211C">
              <w:rPr>
                <w:rFonts w:ascii="Arial" w:eastAsia="Times New Roman" w:hAnsi="Arial" w:cs="Arial"/>
                <w:i/>
                <w:iCs/>
                <w:color w:val="000000"/>
                <w:lang w:val="es-CO" w:eastAsia="es-CO"/>
              </w:rPr>
              <w:t xml:space="preserve"> se hubiese formulado tacha o </w:t>
            </w:r>
            <w:proofErr w:type="gramStart"/>
            <w:r w:rsidRPr="0072211C">
              <w:rPr>
                <w:rFonts w:ascii="Arial" w:eastAsia="Times New Roman" w:hAnsi="Arial" w:cs="Arial"/>
                <w:i/>
                <w:iCs/>
                <w:color w:val="000000"/>
                <w:lang w:val="es-CO" w:eastAsia="es-CO"/>
              </w:rPr>
              <w:t>desconocimiento;  _</w:t>
            </w:r>
            <w:proofErr w:type="gramEnd"/>
            <w:r w:rsidRPr="0072211C">
              <w:rPr>
                <w:rFonts w:ascii="Arial" w:eastAsia="Times New Roman" w:hAnsi="Arial" w:cs="Arial"/>
                <w:i/>
                <w:iCs/>
                <w:color w:val="000000"/>
                <w:lang w:val="es-CO" w:eastAsia="es-CO"/>
              </w:rPr>
              <w:t>__</w:t>
            </w:r>
            <w:r>
              <w:rPr>
                <w:rFonts w:ascii="MS Gothic" w:eastAsia="MS Gothic" w:hAnsi="MS Gothic" w:cs="MS Gothic" w:hint="eastAsia"/>
                <w:color w:val="363636"/>
                <w:sz w:val="36"/>
                <w:szCs w:val="36"/>
                <w:shd w:val="clear" w:color="auto" w:fill="FFFFFF"/>
                <w:lang w:val="es-CO"/>
              </w:rPr>
              <w:t>x</w:t>
            </w:r>
            <w:r w:rsidRPr="0072211C">
              <w:rPr>
                <w:rFonts w:ascii="Arial" w:eastAsia="Times New Roman" w:hAnsi="Arial" w:cs="Arial"/>
                <w:i/>
                <w:iCs/>
                <w:color w:val="000000"/>
                <w:lang w:val="es-CO" w:eastAsia="es-CO"/>
              </w:rPr>
              <w:t>____</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4519FA">
            <w:pPr>
              <w:spacing w:after="0" w:line="240" w:lineRule="auto"/>
              <w:ind w:left="720"/>
              <w:rPr>
                <w:rFonts w:ascii="Arial" w:eastAsia="Times New Roman" w:hAnsi="Arial" w:cs="Arial"/>
                <w:i/>
                <w:iCs/>
                <w:color w:val="000000"/>
                <w:lang w:val="es-CO" w:eastAsia="es-CO"/>
              </w:rPr>
            </w:pPr>
            <w:r w:rsidRPr="0072211C">
              <w:rPr>
                <w:rFonts w:ascii="Arial" w:eastAsia="Times New Roman" w:hAnsi="Arial" w:cs="Arial"/>
                <w:b/>
                <w:bCs/>
                <w:i/>
                <w:iCs/>
                <w:color w:val="000000"/>
                <w:lang w:val="es-CO" w:eastAsia="es-CO"/>
              </w:rPr>
              <w:lastRenderedPageBreak/>
              <w:t>d)</w:t>
            </w:r>
            <w:r w:rsidRPr="0072211C">
              <w:rPr>
                <w:rFonts w:ascii="Arial" w:eastAsia="Times New Roman" w:hAnsi="Arial" w:cs="Arial"/>
                <w:i/>
                <w:iCs/>
                <w:color w:val="000000"/>
                <w:lang w:val="es-CO" w:eastAsia="es-CO"/>
              </w:rPr>
              <w:t xml:space="preserve"> Cuando las pruebas solicitadas por las partes sean impertinentes, inconducentes o inútiles. __</w:t>
            </w:r>
            <w:r w:rsidR="004519FA">
              <w:rPr>
                <w:rFonts w:ascii="MS Gothic" w:eastAsia="MS Gothic" w:hAnsi="MS Gothic" w:cs="MS Gothic" w:hint="eastAsia"/>
                <w:color w:val="363636"/>
                <w:sz w:val="36"/>
                <w:szCs w:val="36"/>
                <w:shd w:val="clear" w:color="auto" w:fill="FFFFFF"/>
                <w:lang w:val="es-CO"/>
              </w:rPr>
              <w:t xml:space="preserve"> </w:t>
            </w:r>
            <w:r w:rsidR="004519FA">
              <w:rPr>
                <w:rFonts w:ascii="MS Gothic" w:eastAsia="MS Gothic" w:hAnsi="MS Gothic" w:cs="MS Gothic" w:hint="eastAsia"/>
                <w:color w:val="363636"/>
                <w:sz w:val="36"/>
                <w:szCs w:val="36"/>
                <w:shd w:val="clear" w:color="auto" w:fill="FFFFFF"/>
                <w:lang w:val="es-CO"/>
              </w:rPr>
              <w:t>x</w:t>
            </w:r>
            <w:r w:rsidR="004519FA" w:rsidRPr="0072211C">
              <w:rPr>
                <w:rFonts w:ascii="Arial" w:eastAsia="Times New Roman" w:hAnsi="Arial" w:cs="Arial"/>
                <w:i/>
                <w:iCs/>
                <w:color w:val="000000"/>
                <w:lang w:val="es-CO" w:eastAsia="es-CO"/>
              </w:rPr>
              <w:t xml:space="preserve"> </w:t>
            </w:r>
            <w:r w:rsidRPr="0072211C">
              <w:rPr>
                <w:rFonts w:ascii="Arial" w:eastAsia="Times New Roman" w:hAnsi="Arial" w:cs="Arial"/>
                <w:i/>
                <w:iCs/>
                <w:color w:val="000000"/>
                <w:lang w:val="es-CO" w:eastAsia="es-CO"/>
              </w:rPr>
              <w:t>___</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Cuando se verifique que procede la sentencia anticipada por alguno de los casos antes descritos, el juez o magistrado ponente debe: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2"/>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Proferir auto donde debe pronunciarse sobre las pruebas cuando a ello hubiere lugar, aplicando el artículo 173 del CGP. </w:t>
            </w:r>
          </w:p>
          <w:p w:rsidR="0072211C" w:rsidRPr="0072211C" w:rsidRDefault="0072211C" w:rsidP="0072211C">
            <w:pPr>
              <w:numPr>
                <w:ilvl w:val="0"/>
                <w:numId w:val="2"/>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En la misma providencia debe fijar el litigio u objeto de la controversia.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225FE0" w:rsidRDefault="00225FE0" w:rsidP="0072211C">
            <w:pPr>
              <w:spacing w:after="0" w:line="240" w:lineRule="auto"/>
              <w:jc w:val="both"/>
              <w:rPr>
                <w:rFonts w:ascii="Arial" w:eastAsia="Times New Roman" w:hAnsi="Arial" w:cs="Arial"/>
                <w:b/>
                <w:sz w:val="24"/>
                <w:szCs w:val="24"/>
                <w:lang w:val="es-CO" w:eastAsia="es-CO"/>
              </w:rPr>
            </w:pPr>
            <w:r w:rsidRPr="00317DEA">
              <w:rPr>
                <w:rFonts w:ascii="Arial" w:eastAsia="Times New Roman" w:hAnsi="Arial" w:cs="Arial"/>
                <w:b/>
                <w:sz w:val="24"/>
                <w:szCs w:val="24"/>
                <w:lang w:val="es-CO" w:eastAsia="es-CO"/>
              </w:rPr>
              <w:t xml:space="preserve">Respuesta:  Se profiere auto en el que se incorporan las pruebas obrantes en el expediente.  Se rechaza la </w:t>
            </w:r>
            <w:r w:rsidR="00D501A3" w:rsidRPr="00317DEA">
              <w:rPr>
                <w:rFonts w:ascii="Arial" w:eastAsia="Times New Roman" w:hAnsi="Arial" w:cs="Arial"/>
                <w:b/>
                <w:sz w:val="24"/>
                <w:szCs w:val="24"/>
                <w:lang w:val="es-CO" w:eastAsia="es-CO"/>
              </w:rPr>
              <w:t>práctica</w:t>
            </w:r>
            <w:r w:rsidRPr="00317DEA">
              <w:rPr>
                <w:rFonts w:ascii="Arial" w:eastAsia="Times New Roman" w:hAnsi="Arial" w:cs="Arial"/>
                <w:b/>
                <w:sz w:val="24"/>
                <w:szCs w:val="24"/>
                <w:lang w:val="es-CO" w:eastAsia="es-CO"/>
              </w:rPr>
              <w:t xml:space="preserve"> de una </w:t>
            </w:r>
            <w:r w:rsidR="00D501A3" w:rsidRPr="00317DEA">
              <w:rPr>
                <w:rFonts w:ascii="Arial" w:eastAsia="Times New Roman" w:hAnsi="Arial" w:cs="Arial"/>
                <w:b/>
                <w:sz w:val="24"/>
                <w:szCs w:val="24"/>
                <w:lang w:val="es-CO" w:eastAsia="es-CO"/>
              </w:rPr>
              <w:t>prueba,</w:t>
            </w:r>
            <w:r w:rsidRPr="00317DEA">
              <w:rPr>
                <w:rFonts w:ascii="Arial" w:eastAsia="Times New Roman" w:hAnsi="Arial" w:cs="Arial"/>
                <w:b/>
                <w:sz w:val="24"/>
                <w:szCs w:val="24"/>
                <w:lang w:val="es-CO" w:eastAsia="es-CO"/>
              </w:rPr>
              <w:t xml:space="preserve"> </w:t>
            </w:r>
            <w:r w:rsidR="00317DEA" w:rsidRPr="00317DEA">
              <w:rPr>
                <w:rFonts w:ascii="Arial" w:eastAsia="Times New Roman" w:hAnsi="Arial" w:cs="Arial"/>
                <w:b/>
                <w:sz w:val="24"/>
                <w:szCs w:val="24"/>
                <w:lang w:val="es-CO" w:eastAsia="es-CO"/>
              </w:rPr>
              <w:t>ya que,</w:t>
            </w:r>
            <w:r w:rsidRPr="00317DEA">
              <w:rPr>
                <w:rFonts w:ascii="Arial" w:eastAsia="Times New Roman" w:hAnsi="Arial" w:cs="Arial"/>
                <w:b/>
                <w:sz w:val="24"/>
                <w:szCs w:val="24"/>
                <w:lang w:val="es-CO" w:eastAsia="es-CO"/>
              </w:rPr>
              <w:t xml:space="preserve"> a criterio del </w:t>
            </w:r>
            <w:r w:rsidR="00317DEA" w:rsidRPr="00317DEA">
              <w:rPr>
                <w:rFonts w:ascii="Arial" w:eastAsia="Times New Roman" w:hAnsi="Arial" w:cs="Arial"/>
                <w:b/>
                <w:sz w:val="24"/>
                <w:szCs w:val="24"/>
                <w:lang w:val="es-CO" w:eastAsia="es-CO"/>
              </w:rPr>
              <w:t>despacho,</w:t>
            </w:r>
            <w:r w:rsidRPr="00317DEA">
              <w:rPr>
                <w:rFonts w:ascii="Arial" w:eastAsia="Times New Roman" w:hAnsi="Arial" w:cs="Arial"/>
                <w:b/>
                <w:sz w:val="24"/>
                <w:szCs w:val="24"/>
                <w:lang w:val="es-CO" w:eastAsia="es-CO"/>
              </w:rPr>
              <w:t xml:space="preserve"> la prueba es inútil.</w:t>
            </w:r>
          </w:p>
          <w:p w:rsidR="00317DEA" w:rsidRPr="00317DEA" w:rsidRDefault="00317DEA" w:rsidP="0072211C">
            <w:pPr>
              <w:spacing w:after="0" w:line="240" w:lineRule="auto"/>
              <w:jc w:val="both"/>
              <w:rPr>
                <w:rFonts w:ascii="Arial" w:eastAsia="Times New Roman" w:hAnsi="Arial" w:cs="Arial"/>
                <w:b/>
                <w:sz w:val="24"/>
                <w:szCs w:val="24"/>
                <w:lang w:val="es-CO" w:eastAsia="es-CO"/>
              </w:rPr>
            </w:pPr>
          </w:p>
          <w:p w:rsidR="00225FE0" w:rsidRPr="00317DEA" w:rsidRDefault="00225FE0" w:rsidP="0072211C">
            <w:pPr>
              <w:spacing w:after="0" w:line="240" w:lineRule="auto"/>
              <w:jc w:val="both"/>
              <w:rPr>
                <w:rFonts w:ascii="Arial" w:eastAsia="Times New Roman" w:hAnsi="Arial" w:cs="Arial"/>
                <w:b/>
                <w:sz w:val="24"/>
                <w:szCs w:val="24"/>
                <w:lang w:val="es-CO" w:eastAsia="es-CO"/>
              </w:rPr>
            </w:pPr>
            <w:r w:rsidRPr="00317DEA">
              <w:rPr>
                <w:rFonts w:ascii="Arial" w:eastAsia="Times New Roman" w:hAnsi="Arial" w:cs="Arial"/>
                <w:b/>
                <w:sz w:val="24"/>
                <w:szCs w:val="24"/>
                <w:lang w:val="es-CO" w:eastAsia="es-CO"/>
              </w:rPr>
              <w:t xml:space="preserve">Se </w:t>
            </w:r>
            <w:r w:rsidR="00D501A3" w:rsidRPr="00317DEA">
              <w:rPr>
                <w:rFonts w:ascii="Arial" w:eastAsia="Times New Roman" w:hAnsi="Arial" w:cs="Arial"/>
                <w:b/>
                <w:sz w:val="24"/>
                <w:szCs w:val="24"/>
                <w:lang w:val="es-CO" w:eastAsia="es-CO"/>
              </w:rPr>
              <w:t>fija el</w:t>
            </w:r>
            <w:r w:rsidRPr="00317DEA">
              <w:rPr>
                <w:rFonts w:ascii="Arial" w:eastAsia="Times New Roman" w:hAnsi="Arial" w:cs="Arial"/>
                <w:b/>
                <w:sz w:val="24"/>
                <w:szCs w:val="24"/>
                <w:lang w:val="es-CO" w:eastAsia="es-CO"/>
              </w:rPr>
              <w:t xml:space="preserve"> litigio en </w:t>
            </w:r>
            <w:r w:rsidR="00317DEA" w:rsidRPr="00317DEA">
              <w:rPr>
                <w:rFonts w:ascii="Arial" w:eastAsia="Times New Roman" w:hAnsi="Arial" w:cs="Arial"/>
                <w:b/>
                <w:sz w:val="24"/>
                <w:szCs w:val="24"/>
                <w:lang w:val="es-CO" w:eastAsia="es-CO"/>
              </w:rPr>
              <w:t>los siguientes</w:t>
            </w:r>
            <w:r w:rsidRPr="00317DEA">
              <w:rPr>
                <w:rFonts w:ascii="Arial" w:eastAsia="Times New Roman" w:hAnsi="Arial" w:cs="Arial"/>
                <w:b/>
                <w:sz w:val="24"/>
                <w:szCs w:val="24"/>
                <w:lang w:val="es-CO" w:eastAsia="es-CO"/>
              </w:rPr>
              <w:t xml:space="preserve"> términos:</w:t>
            </w:r>
          </w:p>
          <w:p w:rsidR="00225FE0" w:rsidRPr="00317DEA" w:rsidRDefault="00225FE0" w:rsidP="0072211C">
            <w:pPr>
              <w:spacing w:after="0" w:line="240" w:lineRule="auto"/>
              <w:jc w:val="both"/>
              <w:rPr>
                <w:rFonts w:ascii="Arial" w:eastAsia="Times New Roman" w:hAnsi="Arial" w:cs="Arial"/>
                <w:b/>
                <w:sz w:val="24"/>
                <w:szCs w:val="24"/>
                <w:lang w:val="es-CO" w:eastAsia="es-CO"/>
              </w:rPr>
            </w:pPr>
          </w:p>
          <w:p w:rsidR="00225FE0" w:rsidRPr="00317DEA" w:rsidRDefault="00225FE0" w:rsidP="00225FE0">
            <w:pPr>
              <w:spacing w:after="0" w:line="240" w:lineRule="auto"/>
              <w:jc w:val="both"/>
              <w:rPr>
                <w:rFonts w:ascii="Arial" w:eastAsia="Times New Roman" w:hAnsi="Arial" w:cs="Arial"/>
                <w:b/>
                <w:bCs/>
                <w:sz w:val="24"/>
                <w:szCs w:val="24"/>
                <w:lang w:val="es-ES_tradnl" w:eastAsia="es-CO"/>
              </w:rPr>
            </w:pPr>
            <w:r w:rsidRPr="00317DEA">
              <w:rPr>
                <w:rFonts w:ascii="Arial" w:eastAsia="Times New Roman" w:hAnsi="Arial" w:cs="Arial"/>
                <w:b/>
                <w:bCs/>
                <w:sz w:val="24"/>
                <w:szCs w:val="24"/>
                <w:lang w:val="es-CO" w:eastAsia="es-CO"/>
              </w:rPr>
              <w:t xml:space="preserve">Corresponde a este despacho determinar si a la señora </w:t>
            </w:r>
            <w:proofErr w:type="spellStart"/>
            <w:r w:rsidRPr="00317DEA">
              <w:rPr>
                <w:rFonts w:ascii="Arial" w:eastAsia="Times New Roman" w:hAnsi="Arial" w:cs="Arial"/>
                <w:b/>
                <w:bCs/>
                <w:sz w:val="24"/>
                <w:szCs w:val="24"/>
                <w:lang w:val="es-CO" w:eastAsia="es-CO"/>
              </w:rPr>
              <w:t>Bilmaris</w:t>
            </w:r>
            <w:proofErr w:type="spellEnd"/>
            <w:r w:rsidRPr="00317DEA">
              <w:rPr>
                <w:rFonts w:ascii="Arial" w:eastAsia="Times New Roman" w:hAnsi="Arial" w:cs="Arial"/>
                <w:b/>
                <w:bCs/>
                <w:sz w:val="24"/>
                <w:szCs w:val="24"/>
                <w:lang w:val="es-CO" w:eastAsia="es-CO"/>
              </w:rPr>
              <w:t xml:space="preserve"> Judith Mendoza Gutiérrez, en su calidad de docente afiliado al Fondo de Prestaciones Sociales del Magisterio tiene derecho o no, al reconocimiento de la sanción moratoria, sanción que, no se encuentra contemplada en la normatividad que rige sus prestaciones sociales. Como problema asociado, corresponde determinar si en el presente asunto operó el fenómeno de la prescripción respecto de la sanción moratoria reclamada.</w:t>
            </w:r>
          </w:p>
          <w:p w:rsidR="00225FE0" w:rsidRPr="00317DEA" w:rsidRDefault="00225FE0" w:rsidP="00225FE0">
            <w:pPr>
              <w:spacing w:after="0" w:line="240" w:lineRule="auto"/>
              <w:jc w:val="both"/>
              <w:rPr>
                <w:rFonts w:ascii="Arial" w:eastAsia="Times New Roman" w:hAnsi="Arial" w:cs="Arial"/>
                <w:b/>
                <w:bCs/>
                <w:sz w:val="24"/>
                <w:szCs w:val="24"/>
                <w:lang w:val="es-ES_tradnl" w:eastAsia="es-CO"/>
              </w:rPr>
            </w:pPr>
          </w:p>
          <w:p w:rsidR="00225FE0" w:rsidRPr="00317DEA" w:rsidRDefault="00225FE0" w:rsidP="0072211C">
            <w:pPr>
              <w:spacing w:after="0" w:line="240" w:lineRule="auto"/>
              <w:jc w:val="both"/>
              <w:rPr>
                <w:rFonts w:ascii="Arial" w:eastAsia="Times New Roman" w:hAnsi="Arial" w:cs="Arial"/>
                <w:b/>
                <w:sz w:val="24"/>
                <w:szCs w:val="24"/>
                <w:lang w:val="es-ES_tradnl" w:eastAsia="es-CO"/>
              </w:rPr>
            </w:pPr>
          </w:p>
          <w:p w:rsidR="0072211C" w:rsidRPr="0072211C" w:rsidRDefault="0072211C" w:rsidP="0072211C">
            <w:pPr>
              <w:spacing w:after="0" w:line="240" w:lineRule="auto"/>
              <w:jc w:val="both"/>
              <w:rPr>
                <w:rFonts w:ascii="Arial" w:eastAsia="Times New Roman" w:hAnsi="Arial" w:cs="Arial"/>
                <w:b/>
                <w:sz w:val="24"/>
                <w:szCs w:val="24"/>
                <w:lang w:val="es-CO" w:eastAsia="es-CO"/>
              </w:rPr>
            </w:pPr>
            <w:r w:rsidRPr="0072211C">
              <w:rPr>
                <w:rFonts w:ascii="Arial" w:eastAsia="Times New Roman" w:hAnsi="Arial" w:cs="Arial"/>
                <w:b/>
                <w:sz w:val="24"/>
                <w:szCs w:val="24"/>
                <w:lang w:val="es-CO" w:eastAsia="es-CO"/>
              </w:rPr>
              <w:t xml:space="preserve">El auto fue dictado en debida forma, </w:t>
            </w:r>
            <w:r w:rsidR="00D501A3" w:rsidRPr="00317DEA">
              <w:rPr>
                <w:rFonts w:ascii="Arial" w:eastAsia="Times New Roman" w:hAnsi="Arial" w:cs="Arial"/>
                <w:b/>
                <w:sz w:val="24"/>
                <w:szCs w:val="24"/>
                <w:lang w:val="es-CO" w:eastAsia="es-CO"/>
              </w:rPr>
              <w:t>notificado y</w:t>
            </w:r>
            <w:r w:rsidRPr="0072211C">
              <w:rPr>
                <w:rFonts w:ascii="Arial" w:eastAsia="Times New Roman" w:hAnsi="Arial" w:cs="Arial"/>
                <w:b/>
                <w:sz w:val="24"/>
                <w:szCs w:val="24"/>
                <w:lang w:val="es-CO" w:eastAsia="es-CO"/>
              </w:rPr>
              <w:t xml:space="preserve"> se </w:t>
            </w:r>
            <w:r w:rsidR="00D501A3" w:rsidRPr="00317DEA">
              <w:rPr>
                <w:rFonts w:ascii="Arial" w:eastAsia="Times New Roman" w:hAnsi="Arial" w:cs="Arial"/>
                <w:b/>
                <w:sz w:val="24"/>
                <w:szCs w:val="24"/>
                <w:lang w:val="es-CO" w:eastAsia="es-CO"/>
              </w:rPr>
              <w:t>encuentra en</w:t>
            </w:r>
            <w:r w:rsidR="00225FE0" w:rsidRPr="00317DEA">
              <w:rPr>
                <w:rFonts w:ascii="Arial" w:eastAsia="Times New Roman" w:hAnsi="Arial" w:cs="Arial"/>
                <w:b/>
                <w:sz w:val="24"/>
                <w:szCs w:val="24"/>
                <w:lang w:val="es-CO" w:eastAsia="es-CO"/>
              </w:rPr>
              <w:t xml:space="preserve"> el </w:t>
            </w:r>
            <w:r w:rsidR="004519FA" w:rsidRPr="00317DEA">
              <w:rPr>
                <w:rFonts w:ascii="Arial" w:eastAsia="Times New Roman" w:hAnsi="Arial" w:cs="Arial"/>
                <w:b/>
                <w:sz w:val="24"/>
                <w:szCs w:val="24"/>
                <w:lang w:val="es-CO" w:eastAsia="es-CO"/>
              </w:rPr>
              <w:t>término</w:t>
            </w:r>
            <w:r w:rsidR="00225FE0" w:rsidRPr="00317DEA">
              <w:rPr>
                <w:rFonts w:ascii="Arial" w:eastAsia="Times New Roman" w:hAnsi="Arial" w:cs="Arial"/>
                <w:b/>
                <w:sz w:val="24"/>
                <w:szCs w:val="24"/>
                <w:lang w:val="es-CO" w:eastAsia="es-CO"/>
              </w:rPr>
              <w:t xml:space="preserve"> de ejecutoria.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firme las decisiones antes señaladas, se debe: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3"/>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 xml:space="preserve">Correr traslado para alegar de conclusión en la forma prevista en el inciso final del artículo 181 del CPACA, </w:t>
            </w:r>
            <w:proofErr w:type="gramStart"/>
            <w:r w:rsidRPr="0072211C">
              <w:rPr>
                <w:rFonts w:ascii="Arial" w:eastAsia="Times New Roman" w:hAnsi="Arial" w:cs="Arial"/>
                <w:color w:val="000000"/>
                <w:lang w:val="es-CO" w:eastAsia="es-CO"/>
              </w:rPr>
              <w:t>y,  _</w:t>
            </w:r>
            <w:proofErr w:type="gramEnd"/>
            <w:r w:rsidRPr="0072211C">
              <w:rPr>
                <w:rFonts w:ascii="Arial" w:eastAsia="Times New Roman" w:hAnsi="Arial" w:cs="Arial"/>
                <w:color w:val="000000"/>
                <w:lang w:val="es-CO" w:eastAsia="es-CO"/>
              </w:rPr>
              <w:t>_</w:t>
            </w:r>
            <w:r w:rsidR="004519FA">
              <w:rPr>
                <w:rFonts w:ascii="MS Gothic" w:eastAsia="MS Gothic" w:hAnsi="MS Gothic" w:cs="MS Gothic" w:hint="eastAsia"/>
                <w:color w:val="363636"/>
                <w:sz w:val="36"/>
                <w:szCs w:val="36"/>
                <w:shd w:val="clear" w:color="auto" w:fill="FFFFFF"/>
                <w:lang w:val="es-CO"/>
              </w:rPr>
              <w:t>x</w:t>
            </w:r>
            <w:r w:rsidRPr="0072211C">
              <w:rPr>
                <w:rFonts w:ascii="Arial Unicode MS" w:eastAsia="Calibri" w:hAnsi="Arial Unicode MS" w:cs="Arial Unicode MS"/>
                <w:color w:val="363636"/>
                <w:sz w:val="36"/>
                <w:szCs w:val="36"/>
                <w:shd w:val="clear" w:color="auto" w:fill="FFFFFF"/>
                <w:lang w:val="es-CO"/>
              </w:rPr>
              <w:t>___</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4"/>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En la providencia que así lo ordene, se debe indicar la razón, o razones, por la cual se dictará sentencia anticipada, la cual se expedirá por escrito posteriormente.  __</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5"/>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sz w:val="18"/>
                <w:szCs w:val="18"/>
                <w:lang w:val="es-CO" w:eastAsia="es-CO"/>
              </w:rPr>
              <w:t>Nota: </w:t>
            </w:r>
          </w:p>
          <w:p w:rsidR="0072211C" w:rsidRPr="0072211C" w:rsidRDefault="0072211C" w:rsidP="0072211C">
            <w:pPr>
              <w:spacing w:after="0" w:line="240" w:lineRule="auto"/>
              <w:jc w:val="both"/>
              <w:rPr>
                <w:rFonts w:ascii="Arial" w:eastAsia="Times New Roman" w:hAnsi="Arial" w:cs="Arial"/>
                <w:i/>
                <w:iCs/>
                <w:color w:val="000000"/>
                <w:sz w:val="18"/>
                <w:szCs w:val="18"/>
                <w:lang w:val="es-CO" w:eastAsia="es-CO"/>
              </w:rPr>
            </w:pPr>
            <w:r w:rsidRPr="0072211C">
              <w:rPr>
                <w:rFonts w:ascii="Arial" w:eastAsia="Times New Roman" w:hAnsi="Arial" w:cs="Arial"/>
                <w:i/>
                <w:iCs/>
                <w:color w:val="000000"/>
                <w:sz w:val="18"/>
                <w:szCs w:val="18"/>
                <w:lang w:val="es-CO"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72211C">
              <w:rPr>
                <w:rFonts w:ascii="Arial" w:eastAsia="Times New Roman" w:hAnsi="Arial" w:cs="Arial"/>
                <w:i/>
                <w:iCs/>
                <w:color w:val="000000"/>
                <w:sz w:val="18"/>
                <w:szCs w:val="18"/>
                <w:lang w:val="es-CO" w:eastAsia="es-CO"/>
              </w:rPr>
              <w:t>Lisset</w:t>
            </w:r>
            <w:proofErr w:type="spellEnd"/>
            <w:r w:rsidRPr="0072211C">
              <w:rPr>
                <w:rFonts w:ascii="Arial" w:eastAsia="Times New Roman" w:hAnsi="Arial" w:cs="Arial"/>
                <w:i/>
                <w:iCs/>
                <w:color w:val="000000"/>
                <w:sz w:val="18"/>
                <w:szCs w:val="18"/>
                <w:lang w:val="es-CO" w:eastAsia="es-CO"/>
              </w:rPr>
              <w:t xml:space="preserve"> Ibarra Vélez. veintiuno (21) de junio de </w:t>
            </w:r>
            <w:proofErr w:type="gramStart"/>
            <w:r w:rsidRPr="0072211C">
              <w:rPr>
                <w:rFonts w:ascii="Arial" w:eastAsia="Times New Roman" w:hAnsi="Arial" w:cs="Arial"/>
                <w:i/>
                <w:iCs/>
                <w:color w:val="000000"/>
                <w:sz w:val="18"/>
                <w:szCs w:val="18"/>
                <w:lang w:val="es-CO" w:eastAsia="es-CO"/>
              </w:rPr>
              <w:t>dos mil veintiuno</w:t>
            </w:r>
            <w:proofErr w:type="gramEnd"/>
            <w:r w:rsidRPr="0072211C">
              <w:rPr>
                <w:rFonts w:ascii="Arial" w:eastAsia="Times New Roman" w:hAnsi="Arial" w:cs="Arial"/>
                <w:i/>
                <w:iCs/>
                <w:color w:val="000000"/>
                <w:sz w:val="18"/>
                <w:szCs w:val="18"/>
                <w:lang w:val="es-CO" w:eastAsia="es-CO"/>
              </w:rPr>
              <w:t xml:space="preserve"> (2021). Referencia del expediente: 11001032500020180079100 (3026-2018). </w:t>
            </w:r>
          </w:p>
          <w:p w:rsidR="0072211C" w:rsidRPr="0072211C" w:rsidRDefault="0072211C" w:rsidP="0072211C">
            <w:pPr>
              <w:spacing w:after="0" w:line="240" w:lineRule="auto"/>
              <w:jc w:val="both"/>
              <w:rPr>
                <w:rFonts w:ascii="Arial" w:eastAsia="Times New Roman" w:hAnsi="Arial" w:cs="Arial"/>
                <w:b/>
                <w:color w:val="000000"/>
                <w:lang w:val="es-CO" w:eastAsia="es-CO"/>
              </w:rPr>
            </w:pPr>
          </w:p>
          <w:p w:rsidR="0072211C" w:rsidRPr="0072211C" w:rsidRDefault="0072211C" w:rsidP="00D501A3">
            <w:pPr>
              <w:spacing w:after="0" w:line="240" w:lineRule="auto"/>
              <w:jc w:val="both"/>
              <w:rPr>
                <w:rFonts w:ascii="Times New Roman" w:eastAsia="Times New Roman" w:hAnsi="Times New Roman" w:cs="Times New Roman"/>
                <w:sz w:val="24"/>
                <w:szCs w:val="24"/>
                <w:lang w:val="es-CO" w:eastAsia="es-CO"/>
              </w:rPr>
            </w:pPr>
          </w:p>
        </w:tc>
      </w:tr>
      <w:tr w:rsidR="0072211C" w:rsidRPr="0072211C"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211C" w:rsidRPr="0072211C" w:rsidRDefault="0072211C" w:rsidP="0072211C">
            <w:pPr>
              <w:numPr>
                <w:ilvl w:val="0"/>
                <w:numId w:val="6"/>
              </w:numPr>
              <w:spacing w:after="0" w:line="240" w:lineRule="auto"/>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lastRenderedPageBreak/>
              <w:t>SENTENCIA ANTICIPADA EN CUALQUIER ESTADO DEL PROCESO, CUANDO LAS PARTES O SUS APODERADOS DE COMÚN ACUERDO LO SOLICITEN, SEA POR INICIATIVA PROPIA O POR SUGERENCIA DEL JUEZ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(Numeral 2° del artículo 182A del CPACA)</w:t>
            </w:r>
          </w:p>
          <w:p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Analizar las siguientes situaciones y proferir las decisiones que corresponde así: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7"/>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en el proceso intervienen litisconsortes necesarios, la petición deberá realizarse conjuntamente con estos;</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8"/>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la solicitud se presenta en el transcurso de una audiencia, se dará traslado para alegar dentro de ella y, surtido el traslado para alegar, se proferirá sentencia oral o escrita;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9"/>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0"/>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Con la aceptación de esta petición por parte del juzgador, se entenderán desistidos los recursos que hubieren formulado los peticionarios contra decisiones interlocutorias que estén pendientes de tramitar o resolver; y</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1"/>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El juzgador rechazará la solicitud cuando advierta fraude o colusión</w:t>
            </w:r>
          </w:p>
          <w:p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tc>
      </w:tr>
      <w:tr w:rsidR="0072211C" w:rsidRPr="0072211C"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211C" w:rsidRPr="0072211C" w:rsidRDefault="0072211C" w:rsidP="0072211C">
            <w:pPr>
              <w:numPr>
                <w:ilvl w:val="0"/>
                <w:numId w:val="12"/>
              </w:numPr>
              <w:spacing w:after="0" w:line="240" w:lineRule="auto"/>
              <w:jc w:val="both"/>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t>EN CUALQUIER ESTADO DEL PROCESO, CUANDO EL JUZGADOR ENCUENTRE PROBADA LA COSA JUZGADA, LA CADUCIDAD, LA TRANSACCIÓN, LA CONCILIACIÓN, LA FALTA MANIFIESTA DE LEGITIMACIÓN EN LA CAUSA Y LA PRESCRIPCIÓN EXTINTIVA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lastRenderedPageBreak/>
              <w:t>(Numeral 3° del artículo 182A del CPACA)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estos eventos se debe proceder de la siguiente manera: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3"/>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Se correrá traslado para alegar, y en la providencia que así lo ordene, el juzgador precisará sobre cuál o cuáles de las excepciones se pronunciará; y</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4"/>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Escuchados o revisados los alegatos se proferirá sentencia anticipada, pero también se podrá reconsiderar la decisión de proferir sentencia de manera anticipada, y, en consecuencia, se continuará el trámite normal del proceso.</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i/>
                <w:iCs/>
                <w:color w:val="000000"/>
                <w:sz w:val="18"/>
                <w:szCs w:val="18"/>
                <w:lang w:val="es-CO" w:eastAsia="es-CO"/>
              </w:rPr>
              <w:t>Nota: en el caso de la transacción, enlistada en el tercer evento en el que se puede dictar sentencia anticipada, se procederá en la manera que a continuación se describe</w:t>
            </w:r>
            <w:r w:rsidRPr="0072211C">
              <w:rPr>
                <w:rFonts w:ascii="Arial" w:eastAsia="Times New Roman" w:hAnsi="Arial" w:cs="Arial"/>
                <w:color w:val="000000"/>
                <w:lang w:val="es-CO" w:eastAsia="es-CO"/>
              </w:rPr>
              <w:t>. </w:t>
            </w:r>
          </w:p>
        </w:tc>
      </w:tr>
      <w:tr w:rsidR="0072211C" w:rsidRPr="0072211C"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2211C" w:rsidRPr="0072211C" w:rsidRDefault="0072211C" w:rsidP="0072211C">
            <w:pPr>
              <w:numPr>
                <w:ilvl w:val="0"/>
                <w:numId w:val="15"/>
              </w:numPr>
              <w:spacing w:after="0" w:line="240" w:lineRule="auto"/>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lastRenderedPageBreak/>
              <w:t>EN CASO DE ALLANAMIENTO O TRANSACCIÓN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(Numeral 4° del artículo 182A del CPACA)</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estos casos, el trámite será el siguiente: </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6"/>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Se dictará sentencia anticipada de manera inmediata, en aplicación del artículo 176 del CPACA; pero</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7"/>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El juzgador podrá rechazar el allanamiento o la transacción, y decretar pruebas de oficio, cuando advierta fraude o colusión o lo pida un tercero que intervenga en el proceso, también en aplicación del artículo 176 del CPACA; y</w:t>
            </w:r>
          </w:p>
          <w:p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rsidR="0072211C" w:rsidRPr="0072211C" w:rsidRDefault="0072211C" w:rsidP="0072211C">
            <w:pPr>
              <w:numPr>
                <w:ilvl w:val="0"/>
                <w:numId w:val="18"/>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 xml:space="preserve">Cumplido lo anterior, el juzgador podrá proferir sentencia anticipada inmediatamente </w:t>
            </w:r>
            <w:r w:rsidRPr="0072211C">
              <w:rPr>
                <w:rFonts w:ascii="Arial" w:eastAsia="Times New Roman" w:hAnsi="Arial" w:cs="Arial"/>
                <w:i/>
                <w:iCs/>
                <w:color w:val="000000"/>
                <w:lang w:val="es-CO" w:eastAsia="es-CO"/>
              </w:rPr>
              <w:t>-si ha desaparecido la sospecha de fraude o colusión-</w:t>
            </w:r>
            <w:r w:rsidRPr="0072211C">
              <w:rPr>
                <w:rFonts w:ascii="Arial" w:eastAsia="Times New Roman" w:hAnsi="Arial" w:cs="Arial"/>
                <w:color w:val="000000"/>
                <w:lang w:val="es-CO" w:eastAsia="es-CO"/>
              </w:rPr>
              <w:t>, o continuará el trámite normal del proceso.</w:t>
            </w:r>
          </w:p>
          <w:p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tc>
      </w:tr>
    </w:tbl>
    <w:p w:rsidR="0072211C" w:rsidRPr="0072211C" w:rsidRDefault="0072211C" w:rsidP="0072211C">
      <w:pPr>
        <w:spacing w:after="200" w:line="276" w:lineRule="auto"/>
        <w:rPr>
          <w:rFonts w:ascii="Calibri" w:eastAsia="Calibri" w:hAnsi="Calibri" w:cs="Times New Roman"/>
          <w:lang w:val="es-CO"/>
        </w:rPr>
      </w:pPr>
    </w:p>
    <w:p w:rsidR="00653F08" w:rsidRPr="0072211C" w:rsidRDefault="00653F08">
      <w:pPr>
        <w:rPr>
          <w:lang w:val="es-CO"/>
        </w:rPr>
      </w:pPr>
    </w:p>
    <w:sectPr w:rsidR="00653F08" w:rsidRPr="007221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1C"/>
    <w:rsid w:val="00225FE0"/>
    <w:rsid w:val="00317DEA"/>
    <w:rsid w:val="004519FA"/>
    <w:rsid w:val="00653F08"/>
    <w:rsid w:val="0072211C"/>
    <w:rsid w:val="008D4395"/>
    <w:rsid w:val="00D5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88B0A"/>
  <w15:chartTrackingRefBased/>
  <w15:docId w15:val="{CD416E16-FC76-4723-944F-245C5638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891407">
      <w:bodyDiv w:val="1"/>
      <w:marLeft w:val="0"/>
      <w:marRight w:val="0"/>
      <w:marTop w:val="0"/>
      <w:marBottom w:val="0"/>
      <w:divBdr>
        <w:top w:val="none" w:sz="0" w:space="0" w:color="auto"/>
        <w:left w:val="none" w:sz="0" w:space="0" w:color="auto"/>
        <w:bottom w:val="none" w:sz="0" w:space="0" w:color="auto"/>
        <w:right w:val="none" w:sz="0" w:space="0" w:color="auto"/>
      </w:divBdr>
      <w:divsChild>
        <w:div w:id="20983586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1043</Words>
  <Characters>5950</Characters>
  <Application>Microsoft Office Word</Application>
  <DocSecurity>0</DocSecurity>
  <Lines>49</Lines>
  <Paragraphs>13</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Vasquez Catalan</dc:creator>
  <cp:keywords/>
  <dc:description/>
  <cp:lastModifiedBy>Eva Vasquez Catalan</cp:lastModifiedBy>
  <cp:revision>6</cp:revision>
  <dcterms:created xsi:type="dcterms:W3CDTF">2021-09-05T21:38:00Z</dcterms:created>
  <dcterms:modified xsi:type="dcterms:W3CDTF">2021-09-05T22:00:00Z</dcterms:modified>
</cp:coreProperties>
</file>