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77777777"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p>
    <w:p w14:paraId="5F7DBDD4" w14:textId="77777777"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p>
    <w:p w14:paraId="75E84AC6" w14:textId="77777777"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p>
    <w:p w14:paraId="6B89892F" w14:textId="7777777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p>
    <w:p w14:paraId="1660C8A3" w14:textId="77777777"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77777777" w:rsidR="00222D4A" w:rsidRPr="001F2D25" w:rsidRDefault="00222D4A"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06368" behindDoc="0" locked="0" layoutInCell="1" allowOverlap="1" wp14:anchorId="7611BAD8" wp14:editId="7F638DBB">
                      <wp:simplePos x="0" y="0"/>
                      <wp:positionH relativeFrom="column">
                        <wp:posOffset>3484880</wp:posOffset>
                      </wp:positionH>
                      <wp:positionV relativeFrom="paragraph">
                        <wp:posOffset>51435</wp:posOffset>
                      </wp:positionV>
                      <wp:extent cx="250441" cy="285115"/>
                      <wp:effectExtent l="0" t="0" r="16510" b="19685"/>
                      <wp:wrapNone/>
                      <wp:docPr id="5" name="Rectángulo 5"/>
                      <wp:cNvGraphicFramePr/>
                      <a:graphic xmlns:a="http://schemas.openxmlformats.org/drawingml/2006/main">
                        <a:graphicData uri="http://schemas.microsoft.com/office/word/2010/wordprocessingShape">
                          <wps:wsp>
                            <wps:cNvSpPr/>
                            <wps:spPr>
                              <a:xfrm>
                                <a:off x="0" y="0"/>
                                <a:ext cx="250441" cy="2851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2F13E759" w14:textId="42B40917" w:rsidR="00416014" w:rsidRDefault="00416014" w:rsidP="00416014">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11BAD8" id="Rectángulo 5" o:spid="_x0000_s1026" style="position:absolute;margin-left:274.4pt;margin-top:4.05pt;width:19.7pt;height:22.4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" fillcolor="white [3201]" strokecolor="#70ad47 [3209]" strokeweight="1pt">
                      <v:textbox>
                        <w:txbxContent>
                          <w:p w14:paraId="2F13E759" w14:textId="42B40917" w:rsidR="00416014" w:rsidRDefault="00416014" w:rsidP="00416014">
                            <w:pPr>
                              <w:jc w:val="center"/>
                            </w:pP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rPr>
              <mc:AlternateContent>
                <mc:Choice Requires="wps">
                  <w:drawing>
                    <wp:anchor distT="0" distB="0" distL="114300" distR="114300" simplePos="0" relativeHeight="251708416" behindDoc="0" locked="0" layoutInCell="1" allowOverlap="1" wp14:anchorId="45B914E8" wp14:editId="0808DA3C">
                      <wp:simplePos x="0" y="0"/>
                      <wp:positionH relativeFrom="column">
                        <wp:posOffset>3122930</wp:posOffset>
                      </wp:positionH>
                      <wp:positionV relativeFrom="paragraph">
                        <wp:posOffset>44450</wp:posOffset>
                      </wp:positionV>
                      <wp:extent cx="250441" cy="285115"/>
                      <wp:effectExtent l="0" t="0" r="16510" b="19685"/>
                      <wp:wrapNone/>
                      <wp:docPr id="6" name="Rectángulo 6"/>
                      <wp:cNvGraphicFramePr/>
                      <a:graphic xmlns:a="http://schemas.openxmlformats.org/drawingml/2006/main">
                        <a:graphicData uri="http://schemas.microsoft.com/office/word/2010/wordprocessingShape">
                          <wps:wsp>
                            <wps:cNvSpPr/>
                            <wps:spPr>
                              <a:xfrm>
                                <a:off x="0" y="0"/>
                                <a:ext cx="250441" cy="285115"/>
                              </a:xfrm>
                              <a:prstGeom prst="rect">
                                <a:avLst/>
                              </a:prstGeom>
                            </wps:spPr>
                            <wps:style>
                              <a:lnRef idx="2">
                                <a:schemeClr val="accent6"/>
                              </a:lnRef>
                              <a:fillRef idx="1">
                                <a:schemeClr val="lt1"/>
                              </a:fillRef>
                              <a:effectRef idx="0">
                                <a:schemeClr val="accent6"/>
                              </a:effectRef>
                              <a:fontRef idx="minor">
                                <a:schemeClr val="dk1"/>
                              </a:fontRef>
                            </wps:style>
                            <wps:txbx>
                              <w:txbxContent>
                                <w:p w14:paraId="447F51B9" w14:textId="3624E9BA" w:rsidR="00416014" w:rsidRDefault="00416014" w:rsidP="00416014">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B914E8" id="Rectángulo 6" o:spid="_x0000_s1027" style="position:absolute;left:0;text-align:left;margin-left:245.9pt;margin-top:3.5pt;width:19.7pt;height:22.4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" fillcolor="white [3201]" strokecolor="#70ad47 [3209]" strokeweight="1pt">
                      <v:textbox>
                        <w:txbxContent>
                          <w:p w14:paraId="447F51B9" w14:textId="3624E9BA" w:rsidR="00416014" w:rsidRDefault="00416014" w:rsidP="00416014">
                            <w:pPr>
                              <w:jc w:val="center"/>
                            </w:pPr>
                            <w: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rPr>
              <mc:AlternateContent>
                <mc:Choice Requires="wps">
                  <w:drawing>
                    <wp:anchor distT="0" distB="0" distL="114300" distR="114300" simplePos="0" relativeHeight="251710464" behindDoc="0" locked="0" layoutInCell="1" allowOverlap="1" wp14:anchorId="592904FA" wp14:editId="02ED3299">
                      <wp:simplePos x="0" y="0"/>
                      <wp:positionH relativeFrom="column">
                        <wp:posOffset>1608455</wp:posOffset>
                      </wp:positionH>
                      <wp:positionV relativeFrom="paragraph">
                        <wp:posOffset>191135</wp:posOffset>
                      </wp:positionV>
                      <wp:extent cx="250441" cy="31369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3136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27D349B9" w14:textId="3761964A" w:rsidR="00416014" w:rsidRDefault="00416014" w:rsidP="00416014">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92904FA" id="Rectángulo 15" o:spid="_x0000_s1028" style="position:absolute;left:0;text-align:left;margin-left:126.65pt;margin-top:15.05pt;width:19.7pt;height:24.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" fillcolor="white [3201]" strokecolor="#70ad47 [3209]" strokeweight="1pt">
                      <v:textbox>
                        <w:txbxContent>
                          <w:p w14:paraId="27D349B9" w14:textId="3761964A" w:rsidR="00416014" w:rsidRDefault="00416014" w:rsidP="00416014">
                            <w:pPr>
                              <w:jc w:val="center"/>
                            </w:pPr>
                            <w:r>
                              <w:t>X</w:t>
                            </w:r>
                          </w:p>
                        </w:txbxContent>
                      </v:textbox>
                    </v:rec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rPr>
              <mc:AlternateContent>
                <mc:Choice Requires="wps">
                  <w:drawing>
                    <wp:anchor distT="0" distB="0" distL="114300" distR="114300" simplePos="0" relativeHeight="251712512" behindDoc="0" locked="0" layoutInCell="1" allowOverlap="1" wp14:anchorId="3D214EC7" wp14:editId="0D6932D5">
                      <wp:simplePos x="0" y="0"/>
                      <wp:positionH relativeFrom="column">
                        <wp:posOffset>1017905</wp:posOffset>
                      </wp:positionH>
                      <wp:positionV relativeFrom="paragraph">
                        <wp:posOffset>177165</wp:posOffset>
                      </wp:positionV>
                      <wp:extent cx="250441" cy="323850"/>
                      <wp:effectExtent l="0" t="0" r="16510" b="19050"/>
                      <wp:wrapNone/>
                      <wp:docPr id="18" name="Rectángulo 18"/>
                      <wp:cNvGraphicFramePr/>
                      <a:graphic xmlns:a="http://schemas.openxmlformats.org/drawingml/2006/main">
                        <a:graphicData uri="http://schemas.microsoft.com/office/word/2010/wordprocessingShape">
                          <wps:wsp>
                            <wps:cNvSpPr/>
                            <wps:spPr>
                              <a:xfrm>
                                <a:off x="0" y="0"/>
                                <a:ext cx="250441" cy="323850"/>
                              </a:xfrm>
                              <a:prstGeom prst="rect">
                                <a:avLst/>
                              </a:prstGeom>
                            </wps:spPr>
                            <wps:style>
                              <a:lnRef idx="2">
                                <a:schemeClr val="accent6"/>
                              </a:lnRef>
                              <a:fillRef idx="1">
                                <a:schemeClr val="lt1"/>
                              </a:fillRef>
                              <a:effectRef idx="0">
                                <a:schemeClr val="accent6"/>
                              </a:effectRef>
                              <a:fontRef idx="minor">
                                <a:schemeClr val="dk1"/>
                              </a:fontRef>
                            </wps:style>
                            <wps:txbx>
                              <w:txbxContent>
                                <w:p w14:paraId="46D8FCDB" w14:textId="17CFBD9E" w:rsidR="00607AE8" w:rsidRDefault="00607AE8" w:rsidP="00607AE8">
                                  <w:pPr>
                                    <w:jc w:val="center"/>
                                  </w:pPr>
                                  <w: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14EC7" id="Rectángulo 18" o:spid="_x0000_s1029" style="position:absolute;left:0;text-align:left;margin-left:80.15pt;margin-top:13.95pt;width:19.7pt;height:25.5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" fillcolor="white [3201]" strokecolor="#70ad47 [3209]" strokeweight="1pt">
                      <v:textbox>
                        <w:txbxContent>
                          <w:p w14:paraId="46D8FCDB" w14:textId="17CFBD9E" w:rsidR="00607AE8" w:rsidRDefault="00607AE8" w:rsidP="00607AE8">
                            <w:pPr>
                              <w:jc w:val="center"/>
                            </w:pPr>
                            <w:r>
                              <w:t>X</w:t>
                            </w:r>
                          </w:p>
                        </w:txbxContent>
                      </v:textbox>
                    </v:rec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lastRenderedPageBreak/>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77777777" w:rsidR="004430DA" w:rsidRPr="001F2D25" w:rsidRDefault="004430DA"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66E9D686" w:rsidR="00ED4ECD" w:rsidRDefault="00ED4ECD" w:rsidP="00ED4ECD">
      <w:pPr>
        <w:rPr>
          <w:rFonts w:ascii="Arial" w:hAnsi="Arial" w:cs="Arial"/>
        </w:rPr>
      </w:pPr>
    </w:p>
    <w:p w14:paraId="33D7BC8E" w14:textId="77777777" w:rsidR="00D5312B" w:rsidRPr="001F2D25" w:rsidRDefault="00D5312B" w:rsidP="00ED4ECD">
      <w:pPr>
        <w:rPr>
          <w:rFonts w:ascii="Arial" w:hAnsi="Arial" w:cs="Arial"/>
        </w:rPr>
      </w:pPr>
    </w:p>
    <w:p w14:paraId="2297C992" w14:textId="77777777" w:rsidR="00ED4ECD" w:rsidRPr="001F2D25" w:rsidRDefault="00ED4ECD" w:rsidP="00ED4ECD">
      <w:pPr>
        <w:rPr>
          <w:rFonts w:ascii="Arial" w:hAnsi="Arial" w:cs="Arial"/>
        </w:rPr>
      </w:pPr>
    </w:p>
    <w:p w14:paraId="0980E621" w14:textId="523AF265" w:rsidR="00D5312B" w:rsidRPr="003E707E" w:rsidRDefault="00D5312B" w:rsidP="00D5312B">
      <w:pPr>
        <w:pStyle w:val="paragraph"/>
        <w:spacing w:before="0" w:beforeAutospacing="0" w:after="0" w:afterAutospacing="0"/>
        <w:jc w:val="center"/>
        <w:textAlignment w:val="baseline"/>
        <w:rPr>
          <w:rFonts w:ascii="Segoe UI" w:hAnsi="Segoe UI" w:cs="Segoe UI"/>
          <w:b/>
          <w:bCs/>
          <w:sz w:val="18"/>
          <w:szCs w:val="18"/>
        </w:rPr>
      </w:pPr>
      <w:r w:rsidRPr="003E707E">
        <w:rPr>
          <w:rFonts w:ascii="Arial" w:eastAsiaTheme="minorEastAsia" w:hAnsi="Arial" w:cs="Arial"/>
          <w:noProof/>
          <w:sz w:val="22"/>
          <w:szCs w:val="22"/>
        </w:rPr>
        <w:lastRenderedPageBreak/>
        <w:drawing>
          <wp:inline distT="0" distB="0" distL="0" distR="0" wp14:anchorId="0E91E979" wp14:editId="5210312A">
            <wp:extent cx="1076325" cy="1057275"/>
            <wp:effectExtent l="0" t="0" r="9525" b="95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076325" cy="1057275"/>
                    </a:xfrm>
                    <a:prstGeom prst="rect">
                      <a:avLst/>
                    </a:prstGeom>
                    <a:noFill/>
                    <a:ln>
                      <a:noFill/>
                    </a:ln>
                  </pic:spPr>
                </pic:pic>
              </a:graphicData>
            </a:graphic>
          </wp:inline>
        </w:drawing>
      </w:r>
      <w:r w:rsidRPr="003E707E">
        <w:rPr>
          <w:rStyle w:val="eop"/>
          <w:rFonts w:ascii="Arial" w:hAnsi="Arial" w:cs="Arial"/>
          <w:b/>
          <w:bCs/>
          <w:sz w:val="26"/>
          <w:szCs w:val="26"/>
        </w:rPr>
        <w:t> </w:t>
      </w:r>
    </w:p>
    <w:p w14:paraId="1C408EDD" w14:textId="77777777" w:rsidR="00D5312B" w:rsidRPr="003E707E" w:rsidRDefault="00D5312B" w:rsidP="00D5312B">
      <w:pPr>
        <w:pStyle w:val="paragraph"/>
        <w:spacing w:before="0" w:beforeAutospacing="0" w:after="0" w:afterAutospacing="0"/>
        <w:jc w:val="center"/>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REPÚBLICA DE COLOMBIA</w:t>
      </w:r>
      <w:r w:rsidRPr="003E707E">
        <w:rPr>
          <w:rStyle w:val="eop"/>
          <w:rFonts w:ascii="Arial" w:hAnsi="Arial" w:cs="Arial"/>
          <w:sz w:val="26"/>
          <w:szCs w:val="26"/>
        </w:rPr>
        <w:t> </w:t>
      </w:r>
    </w:p>
    <w:p w14:paraId="73B56D01" w14:textId="77777777" w:rsidR="00D5312B" w:rsidRPr="003E707E" w:rsidRDefault="00D5312B" w:rsidP="00D5312B">
      <w:pPr>
        <w:pStyle w:val="paragraph"/>
        <w:spacing w:before="0" w:beforeAutospacing="0" w:after="0" w:afterAutospacing="0"/>
        <w:jc w:val="center"/>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RAMA JUDICIAL DEL PODER PÚBLICO</w:t>
      </w:r>
      <w:r w:rsidRPr="003E707E">
        <w:rPr>
          <w:rStyle w:val="eop"/>
          <w:rFonts w:ascii="Arial" w:hAnsi="Arial" w:cs="Arial"/>
          <w:sz w:val="26"/>
          <w:szCs w:val="26"/>
        </w:rPr>
        <w:t> </w:t>
      </w:r>
    </w:p>
    <w:p w14:paraId="1223AC76" w14:textId="77777777" w:rsidR="00D5312B" w:rsidRPr="003E707E" w:rsidRDefault="00D5312B" w:rsidP="00D5312B">
      <w:pPr>
        <w:pStyle w:val="paragraph"/>
        <w:spacing w:before="0" w:beforeAutospacing="0" w:after="0" w:afterAutospacing="0"/>
        <w:jc w:val="center"/>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TRIBUNAL ADMINISTRATIVO DEL CAUCA</w:t>
      </w:r>
      <w:r w:rsidRPr="003E707E">
        <w:rPr>
          <w:rStyle w:val="eop"/>
          <w:rFonts w:ascii="Arial" w:hAnsi="Arial" w:cs="Arial"/>
          <w:sz w:val="26"/>
          <w:szCs w:val="26"/>
        </w:rPr>
        <w:t> </w:t>
      </w:r>
    </w:p>
    <w:p w14:paraId="7D9BF053" w14:textId="77777777" w:rsidR="00D5312B" w:rsidRPr="003E707E" w:rsidRDefault="00D5312B" w:rsidP="00D5312B">
      <w:pPr>
        <w:pStyle w:val="paragraph"/>
        <w:spacing w:before="0" w:beforeAutospacing="0" w:after="0" w:afterAutospacing="0"/>
        <w:textAlignment w:val="baseline"/>
        <w:rPr>
          <w:rFonts w:ascii="Segoe UI" w:hAnsi="Segoe UI" w:cs="Segoe UI"/>
          <w:b/>
          <w:bCs/>
          <w:sz w:val="18"/>
          <w:szCs w:val="18"/>
        </w:rPr>
      </w:pPr>
      <w:r w:rsidRPr="003E707E">
        <w:rPr>
          <w:rStyle w:val="eop"/>
          <w:rFonts w:ascii="Arial" w:hAnsi="Arial" w:cs="Arial"/>
          <w:b/>
          <w:bCs/>
          <w:sz w:val="26"/>
          <w:szCs w:val="26"/>
        </w:rPr>
        <w:t> </w:t>
      </w:r>
    </w:p>
    <w:p w14:paraId="625F889A" w14:textId="115AE402" w:rsidR="00D5312B" w:rsidRPr="003E707E" w:rsidRDefault="00D5312B" w:rsidP="00D5312B">
      <w:pPr>
        <w:pStyle w:val="paragraph"/>
        <w:spacing w:before="0" w:beforeAutospacing="0" w:after="0" w:afterAutospacing="0"/>
        <w:textAlignment w:val="baseline"/>
        <w:rPr>
          <w:rFonts w:ascii="Segoe UI" w:hAnsi="Segoe UI" w:cs="Segoe UI"/>
          <w:b/>
          <w:bCs/>
          <w:sz w:val="18"/>
          <w:szCs w:val="18"/>
        </w:rPr>
      </w:pPr>
      <w:r w:rsidRPr="003E707E">
        <w:rPr>
          <w:rStyle w:val="normaltextrun"/>
          <w:rFonts w:ascii="Arial" w:eastAsiaTheme="minorEastAsia" w:hAnsi="Arial" w:cs="Arial"/>
          <w:sz w:val="26"/>
          <w:szCs w:val="26"/>
        </w:rPr>
        <w:t>Popayán, </w:t>
      </w:r>
      <w:r w:rsidRPr="003E707E">
        <w:rPr>
          <w:rStyle w:val="normaltextrun"/>
          <w:rFonts w:ascii="Arial" w:eastAsiaTheme="minorEastAsia" w:hAnsi="Arial" w:cs="Arial"/>
          <w:sz w:val="26"/>
          <w:szCs w:val="26"/>
        </w:rPr>
        <w:t>treinta </w:t>
      </w:r>
      <w:r w:rsidRPr="003E707E">
        <w:rPr>
          <w:rStyle w:val="normaltextrun"/>
          <w:rFonts w:ascii="Arial" w:eastAsiaTheme="minorEastAsia" w:hAnsi="Arial" w:cs="Arial"/>
          <w:sz w:val="26"/>
          <w:szCs w:val="26"/>
        </w:rPr>
        <w:t>(</w:t>
      </w:r>
      <w:r w:rsidRPr="003E707E">
        <w:rPr>
          <w:rStyle w:val="normaltextrun"/>
          <w:rFonts w:ascii="Arial" w:eastAsiaTheme="minorEastAsia" w:hAnsi="Arial" w:cs="Arial"/>
          <w:sz w:val="26"/>
          <w:szCs w:val="26"/>
        </w:rPr>
        <w:t>30</w:t>
      </w:r>
      <w:r w:rsidRPr="003E707E">
        <w:rPr>
          <w:rStyle w:val="normaltextrun"/>
          <w:rFonts w:ascii="Arial" w:eastAsiaTheme="minorEastAsia" w:hAnsi="Arial" w:cs="Arial"/>
          <w:sz w:val="26"/>
          <w:szCs w:val="26"/>
        </w:rPr>
        <w:t>) de</w:t>
      </w:r>
      <w:r w:rsidRPr="003E707E">
        <w:rPr>
          <w:rStyle w:val="normaltextrun"/>
          <w:rFonts w:ascii="Arial" w:eastAsiaTheme="minorEastAsia" w:hAnsi="Arial" w:cs="Arial"/>
          <w:sz w:val="26"/>
          <w:szCs w:val="26"/>
        </w:rPr>
        <w:t xml:space="preserve"> agosto </w:t>
      </w:r>
      <w:r w:rsidRPr="003E707E">
        <w:rPr>
          <w:rStyle w:val="normaltextrun"/>
          <w:rFonts w:ascii="Arial" w:eastAsiaTheme="minorEastAsia" w:hAnsi="Arial" w:cs="Arial"/>
          <w:sz w:val="26"/>
          <w:szCs w:val="26"/>
        </w:rPr>
        <w:t>de dos mil veintiuno (</w:t>
      </w:r>
      <w:r w:rsidRPr="003E707E">
        <w:rPr>
          <w:rStyle w:val="normaltextrun"/>
          <w:rFonts w:ascii="Arial" w:eastAsiaTheme="minorEastAsia" w:hAnsi="Arial" w:cs="Arial"/>
          <w:sz w:val="26"/>
          <w:szCs w:val="26"/>
          <w:lang w:val="es-ES"/>
        </w:rPr>
        <w:t>2021).</w:t>
      </w:r>
      <w:r w:rsidRPr="003E707E">
        <w:rPr>
          <w:rStyle w:val="eop"/>
          <w:rFonts w:ascii="Arial" w:hAnsi="Arial" w:cs="Arial"/>
          <w:b/>
          <w:bCs/>
          <w:sz w:val="26"/>
          <w:szCs w:val="26"/>
        </w:rPr>
        <w:t> </w:t>
      </w:r>
    </w:p>
    <w:p w14:paraId="06085DE1" w14:textId="77777777" w:rsidR="00D5312B" w:rsidRPr="003E707E" w:rsidRDefault="00D5312B" w:rsidP="00D5312B">
      <w:pPr>
        <w:pStyle w:val="paragraph"/>
        <w:spacing w:before="0" w:beforeAutospacing="0" w:after="0" w:afterAutospacing="0"/>
        <w:textAlignment w:val="baseline"/>
        <w:rPr>
          <w:rFonts w:ascii="Segoe UI" w:hAnsi="Segoe UI" w:cs="Segoe UI"/>
          <w:sz w:val="18"/>
          <w:szCs w:val="18"/>
        </w:rPr>
      </w:pPr>
      <w:r w:rsidRPr="003E707E">
        <w:rPr>
          <w:rStyle w:val="eop"/>
          <w:rFonts w:ascii="Arial" w:hAnsi="Arial" w:cs="Arial"/>
          <w:sz w:val="26"/>
          <w:szCs w:val="26"/>
        </w:rPr>
        <w:t> </w:t>
      </w:r>
    </w:p>
    <w:p w14:paraId="18F9C739" w14:textId="697B1F89"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Expediente:</w:t>
      </w:r>
      <w:r w:rsidRPr="003E707E">
        <w:rPr>
          <w:rStyle w:val="tabchar"/>
          <w:rFonts w:ascii="Calibri" w:hAnsi="Calibri" w:cs="Calibri"/>
          <w:sz w:val="26"/>
          <w:szCs w:val="26"/>
        </w:rPr>
        <w:t xml:space="preserve"> </w:t>
      </w:r>
      <w:r w:rsidRPr="003E707E">
        <w:rPr>
          <w:rStyle w:val="normaltextrun"/>
          <w:rFonts w:ascii="Arial" w:eastAsiaTheme="minorEastAsia" w:hAnsi="Arial" w:cs="Arial"/>
          <w:sz w:val="26"/>
          <w:szCs w:val="26"/>
          <w:lang w:val="es-ES"/>
        </w:rPr>
        <w:t>   </w:t>
      </w:r>
      <w:r w:rsidRPr="003E707E">
        <w:rPr>
          <w:rStyle w:val="normaltextrun"/>
          <w:rFonts w:ascii="Arial" w:eastAsiaTheme="minorEastAsia" w:hAnsi="Arial" w:cs="Arial"/>
          <w:sz w:val="26"/>
          <w:szCs w:val="26"/>
          <w:lang w:val="es-ES"/>
        </w:rPr>
        <w:t>2020</w:t>
      </w:r>
      <w:r w:rsidRPr="003E707E">
        <w:rPr>
          <w:rStyle w:val="normaltextrun"/>
          <w:rFonts w:ascii="Arial" w:eastAsiaTheme="minorEastAsia" w:hAnsi="Arial" w:cs="Arial"/>
          <w:sz w:val="26"/>
          <w:szCs w:val="26"/>
          <w:lang w:val="es-ES"/>
        </w:rPr>
        <w:t>-00228-00</w:t>
      </w:r>
      <w:r w:rsidRPr="003E707E">
        <w:rPr>
          <w:rStyle w:val="eop"/>
          <w:rFonts w:ascii="Arial" w:eastAsiaTheme="minorEastAsia" w:hAnsi="Arial" w:cs="Arial"/>
          <w:sz w:val="26"/>
          <w:szCs w:val="26"/>
        </w:rPr>
        <w:t> </w:t>
      </w:r>
    </w:p>
    <w:p w14:paraId="415CA728" w14:textId="1B72C0EE"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MX"/>
        </w:rPr>
        <w:t>Demandante:  Fortunata Banguera de Angulo</w:t>
      </w:r>
      <w:r w:rsidRPr="003E707E">
        <w:rPr>
          <w:rStyle w:val="eop"/>
          <w:rFonts w:ascii="Arial" w:eastAsiaTheme="minorEastAsia" w:hAnsi="Arial" w:cs="Arial"/>
          <w:sz w:val="26"/>
          <w:szCs w:val="26"/>
        </w:rPr>
        <w:t> </w:t>
      </w:r>
    </w:p>
    <w:p w14:paraId="1A856E05" w14:textId="1C60304C" w:rsidR="00D5312B" w:rsidRPr="003E707E" w:rsidRDefault="00D5312B" w:rsidP="00D5312B">
      <w:pPr>
        <w:pStyle w:val="paragraph"/>
        <w:spacing w:before="0" w:beforeAutospacing="0" w:after="0" w:afterAutospacing="0"/>
        <w:ind w:left="2820" w:hanging="282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Demandado:</w:t>
      </w:r>
      <w:r w:rsidRPr="003E707E">
        <w:rPr>
          <w:rStyle w:val="tabchar"/>
          <w:rFonts w:ascii="Calibri" w:hAnsi="Calibri" w:cs="Calibri"/>
          <w:sz w:val="26"/>
          <w:szCs w:val="26"/>
        </w:rPr>
        <w:t xml:space="preserve"> </w:t>
      </w:r>
      <w:r w:rsidRPr="003E707E">
        <w:rPr>
          <w:rStyle w:val="normaltextrun"/>
          <w:rFonts w:ascii="Arial" w:eastAsiaTheme="minorEastAsia" w:hAnsi="Arial" w:cs="Arial"/>
          <w:sz w:val="26"/>
          <w:szCs w:val="26"/>
          <w:lang w:val="es-ES"/>
        </w:rPr>
        <w:t>  UGPP</w:t>
      </w:r>
      <w:r w:rsidRPr="003E707E">
        <w:rPr>
          <w:rStyle w:val="eop"/>
          <w:rFonts w:ascii="Arial" w:eastAsiaTheme="minorEastAsia" w:hAnsi="Arial" w:cs="Arial"/>
          <w:sz w:val="26"/>
          <w:szCs w:val="26"/>
        </w:rPr>
        <w:t> </w:t>
      </w:r>
    </w:p>
    <w:p w14:paraId="0BDA6A0C" w14:textId="020FC2CC" w:rsidR="00D5312B" w:rsidRPr="003E707E" w:rsidRDefault="00D5312B" w:rsidP="00D5312B">
      <w:pPr>
        <w:pStyle w:val="paragraph"/>
        <w:spacing w:before="0" w:beforeAutospacing="0" w:after="0" w:afterAutospacing="0"/>
        <w:ind w:left="2820" w:hanging="282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Referencia:</w:t>
      </w:r>
      <w:r w:rsidRPr="003E707E">
        <w:rPr>
          <w:rStyle w:val="tabchar"/>
          <w:rFonts w:ascii="Calibri" w:hAnsi="Calibri" w:cs="Calibri"/>
          <w:sz w:val="26"/>
          <w:szCs w:val="26"/>
        </w:rPr>
        <w:t xml:space="preserve"> </w:t>
      </w:r>
      <w:r w:rsidRPr="003E707E">
        <w:rPr>
          <w:rStyle w:val="normaltextrun"/>
          <w:rFonts w:ascii="Arial" w:eastAsiaTheme="minorEastAsia" w:hAnsi="Arial" w:cs="Arial"/>
          <w:sz w:val="26"/>
          <w:szCs w:val="26"/>
          <w:lang w:val="es-ES"/>
        </w:rPr>
        <w:t>   </w:t>
      </w:r>
      <w:r w:rsidRPr="003E707E">
        <w:rPr>
          <w:rStyle w:val="normaltextrun"/>
          <w:rFonts w:ascii="Arial" w:eastAsiaTheme="minorEastAsia" w:hAnsi="Arial" w:cs="Arial"/>
          <w:sz w:val="26"/>
          <w:szCs w:val="26"/>
          <w:lang w:val="es-ES"/>
        </w:rPr>
        <w:t xml:space="preserve"> </w:t>
      </w:r>
      <w:r w:rsidRPr="003E707E">
        <w:rPr>
          <w:rStyle w:val="normaltextrun"/>
          <w:rFonts w:ascii="Arial" w:eastAsiaTheme="minorEastAsia" w:hAnsi="Arial" w:cs="Arial"/>
          <w:sz w:val="26"/>
          <w:szCs w:val="26"/>
          <w:lang w:val="es-ES"/>
        </w:rPr>
        <w:t>Nulidad y restablecimiento</w:t>
      </w:r>
      <w:r w:rsidRPr="003E707E">
        <w:rPr>
          <w:rStyle w:val="normaltextrun"/>
          <w:rFonts w:ascii="Arial" w:eastAsiaTheme="minorEastAsia" w:hAnsi="Arial" w:cs="Arial"/>
          <w:sz w:val="26"/>
          <w:szCs w:val="26"/>
          <w:lang w:val="es-ES"/>
        </w:rPr>
        <w:t xml:space="preserve"> del derecho</w:t>
      </w:r>
      <w:r w:rsidRPr="003E707E">
        <w:rPr>
          <w:rStyle w:val="normaltextrun"/>
          <w:rFonts w:ascii="Arial" w:eastAsiaTheme="minorEastAsia" w:hAnsi="Arial" w:cs="Arial"/>
          <w:sz w:val="26"/>
          <w:szCs w:val="26"/>
          <w:lang w:val="es-ES"/>
        </w:rPr>
        <w:t>.</w:t>
      </w:r>
    </w:p>
    <w:p w14:paraId="3287A96D" w14:textId="77777777" w:rsidR="00D5312B" w:rsidRPr="003E707E" w:rsidRDefault="00D5312B" w:rsidP="00D5312B">
      <w:pPr>
        <w:pStyle w:val="paragraph"/>
        <w:spacing w:before="0" w:beforeAutospacing="0" w:after="0" w:afterAutospacing="0"/>
        <w:ind w:left="2820" w:hanging="2820"/>
        <w:jc w:val="both"/>
        <w:textAlignment w:val="baseline"/>
        <w:rPr>
          <w:rFonts w:ascii="Segoe UI" w:hAnsi="Segoe UI" w:cs="Segoe UI"/>
          <w:sz w:val="18"/>
          <w:szCs w:val="18"/>
        </w:rPr>
      </w:pPr>
      <w:r w:rsidRPr="003E707E">
        <w:rPr>
          <w:rStyle w:val="eop"/>
          <w:rFonts w:ascii="Arial" w:hAnsi="Arial" w:cs="Arial"/>
          <w:sz w:val="26"/>
          <w:szCs w:val="26"/>
        </w:rPr>
        <w:t> </w:t>
      </w:r>
    </w:p>
    <w:p w14:paraId="360E51F2"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eop"/>
          <w:rFonts w:ascii="Arial" w:hAnsi="Arial" w:cs="Arial"/>
          <w:sz w:val="26"/>
          <w:szCs w:val="26"/>
        </w:rPr>
        <w:t> </w:t>
      </w:r>
    </w:p>
    <w:p w14:paraId="5E6A7E50"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Pasa el proceso de la referencia para considerar la programación de la audiencia inicial de primera instancia.</w:t>
      </w:r>
      <w:r w:rsidRPr="003E707E">
        <w:rPr>
          <w:rStyle w:val="eop"/>
          <w:rFonts w:ascii="Arial" w:hAnsi="Arial" w:cs="Arial"/>
          <w:sz w:val="26"/>
          <w:szCs w:val="26"/>
        </w:rPr>
        <w:t> </w:t>
      </w:r>
    </w:p>
    <w:p w14:paraId="367CB541"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eop"/>
          <w:rFonts w:ascii="Arial" w:hAnsi="Arial" w:cs="Arial"/>
          <w:sz w:val="26"/>
          <w:szCs w:val="26"/>
        </w:rPr>
        <w:t> </w:t>
      </w:r>
    </w:p>
    <w:p w14:paraId="6942518F" w14:textId="77777777" w:rsidR="00D5312B" w:rsidRPr="003E707E" w:rsidRDefault="00D5312B" w:rsidP="00D5312B">
      <w:pPr>
        <w:pStyle w:val="paragraph"/>
        <w:spacing w:before="0" w:beforeAutospacing="0" w:after="0" w:afterAutospacing="0"/>
        <w:ind w:left="720"/>
        <w:jc w:val="center"/>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CONSIDERACIONES</w:t>
      </w:r>
      <w:r w:rsidRPr="003E707E">
        <w:rPr>
          <w:rStyle w:val="eop"/>
          <w:rFonts w:ascii="Arial" w:hAnsi="Arial" w:cs="Arial"/>
          <w:sz w:val="26"/>
          <w:szCs w:val="26"/>
        </w:rPr>
        <w:t> </w:t>
      </w:r>
    </w:p>
    <w:p w14:paraId="303FB7B6" w14:textId="77777777" w:rsidR="00D5312B" w:rsidRPr="003E707E" w:rsidRDefault="00D5312B" w:rsidP="00D5312B">
      <w:pPr>
        <w:pStyle w:val="paragraph"/>
        <w:spacing w:before="0" w:beforeAutospacing="0" w:after="0" w:afterAutospacing="0"/>
        <w:jc w:val="center"/>
        <w:textAlignment w:val="baseline"/>
        <w:rPr>
          <w:rFonts w:ascii="Segoe UI" w:hAnsi="Segoe UI" w:cs="Segoe UI"/>
          <w:sz w:val="18"/>
          <w:szCs w:val="18"/>
        </w:rPr>
      </w:pPr>
      <w:r w:rsidRPr="003E707E">
        <w:rPr>
          <w:rStyle w:val="eop"/>
          <w:rFonts w:ascii="Arial" w:hAnsi="Arial" w:cs="Arial"/>
          <w:sz w:val="26"/>
          <w:szCs w:val="26"/>
        </w:rPr>
        <w:t> </w:t>
      </w:r>
    </w:p>
    <w:p w14:paraId="17779604" w14:textId="7BA587B4"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1. Mediante la Ley 2020 de 2021, </w:t>
      </w:r>
      <w:r w:rsidRPr="003E707E">
        <w:rPr>
          <w:rStyle w:val="normaltextrun"/>
          <w:rFonts w:ascii="Arial" w:eastAsiaTheme="minorEastAsia" w:hAnsi="Arial" w:cs="Arial"/>
          <w:sz w:val="26"/>
          <w:szCs w:val="26"/>
          <w:lang w:val="es-ES"/>
        </w:rPr>
        <w:t>se dispuso</w:t>
      </w:r>
      <w:r w:rsidRPr="003E707E">
        <w:rPr>
          <w:rStyle w:val="normaltextrun"/>
          <w:rFonts w:ascii="Arial" w:eastAsiaTheme="minorEastAsia" w:hAnsi="Arial" w:cs="Arial"/>
          <w:sz w:val="26"/>
          <w:szCs w:val="26"/>
          <w:lang w:val="es-ES"/>
        </w:rPr>
        <w:t> la reforma del CPACA contenido en la Ley 1437 de 2011, entre las cuales se incluyó la posibilidad de resolver excepciones previas y emitir sentencias anticipadas en la jurisdicción contencioso administrativo, antes de la audiencia inicial</w:t>
      </w:r>
      <w:r w:rsidRPr="003E707E">
        <w:rPr>
          <w:rStyle w:val="normaltextrun"/>
          <w:rFonts w:ascii="Arial" w:eastAsiaTheme="minorEastAsia" w:hAnsi="Arial" w:cs="Arial"/>
          <w:sz w:val="20"/>
          <w:szCs w:val="20"/>
          <w:vertAlign w:val="superscript"/>
          <w:lang w:val="es-ES"/>
        </w:rPr>
        <w:t>1</w:t>
      </w:r>
      <w:r w:rsidRPr="003E707E">
        <w:rPr>
          <w:rStyle w:val="normaltextrun"/>
          <w:rFonts w:ascii="Arial" w:eastAsiaTheme="minorEastAsia" w:hAnsi="Arial" w:cs="Arial"/>
          <w:sz w:val="26"/>
          <w:szCs w:val="26"/>
          <w:lang w:val="es-ES"/>
        </w:rPr>
        <w:t>.</w:t>
      </w: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61C2C336"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07C7CB75" w14:textId="28CB0B5D" w:rsidR="00D5312B" w:rsidRPr="003E707E" w:rsidRDefault="003E707E"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 xml:space="preserve">2. </w:t>
      </w:r>
      <w:r w:rsidR="00D5312B" w:rsidRPr="003E707E">
        <w:rPr>
          <w:rStyle w:val="normaltextrun"/>
          <w:rFonts w:ascii="Arial" w:eastAsiaTheme="minorEastAsia" w:hAnsi="Arial" w:cs="Arial"/>
          <w:sz w:val="26"/>
          <w:szCs w:val="26"/>
          <w:lang w:val="es-ES"/>
        </w:rPr>
        <w:t>Así, se tiene que con el artículo 38 de la Ley 2020 de 2021, se modificó el parágrafo segundo del artículo 175 de la Ley 1437 de 2011, que quedó así: </w:t>
      </w:r>
      <w:r w:rsidR="00D5312B" w:rsidRPr="003E707E">
        <w:rPr>
          <w:rStyle w:val="normaltextrun"/>
          <w:rFonts w:ascii="Arial" w:eastAsiaTheme="minorEastAsia" w:hAnsi="Arial" w:cs="Arial"/>
          <w:sz w:val="26"/>
          <w:szCs w:val="26"/>
        </w:rPr>
        <w:t> </w:t>
      </w:r>
      <w:r w:rsidR="00D5312B" w:rsidRPr="003E707E">
        <w:rPr>
          <w:rStyle w:val="eop"/>
          <w:rFonts w:ascii="Arial" w:hAnsi="Arial" w:cs="Arial"/>
          <w:sz w:val="26"/>
          <w:szCs w:val="26"/>
        </w:rPr>
        <w:t> </w:t>
      </w:r>
    </w:p>
    <w:p w14:paraId="16D4FD01"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03FADD5E"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sz w:val="26"/>
          <w:szCs w:val="26"/>
          <w:lang w:val="es-ES"/>
        </w:rPr>
        <w:t>“Parágrafo 2°. De las excepciones presentadas se correrá traslado en la forma prevista en el artículo 201A por el término de tres (3) días. En este término, la parte demandante podrá pronunciarse sobre las excepciones previas y, si fuere el caso, subsanar los defectos anotados en ellas. En relación con las demás excepciones podrá también solicitar pruebas.</w:t>
      </w: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4A0B15FF"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2657AFFB"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sz w:val="26"/>
          <w:szCs w:val="26"/>
          <w:lang w:val="es-ES"/>
        </w:rPr>
        <w:t xml:space="preserve">Las excepciones previas se formularán y decidirán según lo regulado en los artículos 100, 101 Y 102 del Código General </w:t>
      </w:r>
      <w:r w:rsidRPr="003E707E">
        <w:rPr>
          <w:rStyle w:val="normaltextrun"/>
          <w:rFonts w:ascii="Arial" w:eastAsiaTheme="minorEastAsia" w:hAnsi="Arial" w:cs="Arial"/>
          <w:i/>
          <w:iCs/>
          <w:sz w:val="26"/>
          <w:szCs w:val="26"/>
          <w:lang w:val="es-ES"/>
        </w:rPr>
        <w:lastRenderedPageBreak/>
        <w:t>del Proceso. Cuando se requiera la práctica de pruebas a que se refiere el inciso segundo del artículo 101 del citado código, el juez o magistrado ponente las decretará en el auto que cita a la audiencia inicial, y en el curso de esta las practicará. Allí mismo, resolverá las excepciones previas que requirieron pruebas y estén pendientes de decisión.</w:t>
      </w: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0D06E995"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5D3BB1D9"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sz w:val="26"/>
          <w:szCs w:val="26"/>
          <w:lang w:val="es-ES"/>
        </w:rPr>
        <w:t>Antes de la audiencia inicial, en la misma oportunidad para decidir las excepciones previas, se declarará la terminación del proceso cuando se advierta el incumplimiento de requisitos de procedibilidad.</w:t>
      </w: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5622BEED"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0E0375EC"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sz w:val="26"/>
          <w:szCs w:val="26"/>
          <w:lang w:val="es-ES"/>
        </w:rPr>
        <w:t>Las excepciones de cosa juzgada, caducidad, transacción, conciliación, falta manifiesta de legitimación en la causa y prescripción extintiva, se declararán fundadas mediante sentencia anticipada, en los términos previstos en el numeral tercero del artículo 182A.”</w:t>
      </w: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35CFA0D2"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79597A11"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Por otro lado, el artículo 42 de la Ley 2080 de 2021, adicionó el 182A a la Ley 1437 de 2011, y reguló la figura de la sentencia anticipada</w:t>
      </w:r>
      <w:r w:rsidRPr="003E707E">
        <w:rPr>
          <w:rStyle w:val="superscript"/>
          <w:rFonts w:ascii="Arial" w:hAnsi="Arial" w:cs="Arial"/>
          <w:sz w:val="20"/>
          <w:szCs w:val="20"/>
          <w:vertAlign w:val="superscript"/>
          <w:lang w:val="es-ES"/>
        </w:rPr>
        <w:t>1</w:t>
      </w:r>
      <w:r w:rsidRPr="003E707E">
        <w:rPr>
          <w:rStyle w:val="normaltextrun"/>
          <w:rFonts w:ascii="Arial" w:eastAsiaTheme="minorEastAsia" w:hAnsi="Arial" w:cs="Arial"/>
          <w:sz w:val="26"/>
          <w:szCs w:val="26"/>
          <w:lang w:val="es-ES"/>
        </w:rPr>
        <w:t>, en los siguientes términos:</w:t>
      </w:r>
      <w:r w:rsidRPr="003E707E">
        <w:rPr>
          <w:rStyle w:val="eop"/>
          <w:rFonts w:ascii="Arial" w:hAnsi="Arial" w:cs="Arial"/>
          <w:sz w:val="26"/>
          <w:szCs w:val="26"/>
        </w:rPr>
        <w:t> </w:t>
      </w:r>
    </w:p>
    <w:p w14:paraId="78ACDFF3"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eop"/>
          <w:rFonts w:ascii="Arial" w:hAnsi="Arial" w:cs="Arial"/>
          <w:sz w:val="26"/>
          <w:szCs w:val="26"/>
        </w:rPr>
        <w:t> </w:t>
      </w:r>
    </w:p>
    <w:p w14:paraId="1B185E32"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“Artículo 42. Adiciónese a la Ley 1437 de 2011 el artículo 182A, el cual será del siguiente tenor: </w:t>
      </w:r>
      <w:r w:rsidRPr="003E707E">
        <w:rPr>
          <w:rStyle w:val="eop"/>
          <w:rFonts w:ascii="Arial" w:hAnsi="Arial" w:cs="Arial"/>
        </w:rPr>
        <w:t> </w:t>
      </w:r>
    </w:p>
    <w:p w14:paraId="10E273D1"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5A81CF9F"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Artículo 182A. Sentencia anticipada. Se podrá dictar sentencia anticipada: </w:t>
      </w:r>
      <w:r w:rsidRPr="003E707E">
        <w:rPr>
          <w:rStyle w:val="eop"/>
          <w:rFonts w:ascii="Arial" w:hAnsi="Arial" w:cs="Arial"/>
        </w:rPr>
        <w:t> </w:t>
      </w:r>
    </w:p>
    <w:p w14:paraId="4106F787"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4352DE0B"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1. Antes de la audiencia inicial: </w:t>
      </w:r>
      <w:r w:rsidRPr="003E707E">
        <w:rPr>
          <w:rStyle w:val="eop"/>
          <w:rFonts w:ascii="Arial" w:hAnsi="Arial" w:cs="Arial"/>
        </w:rPr>
        <w:t> </w:t>
      </w:r>
    </w:p>
    <w:p w14:paraId="5D1D2A54"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a) Cuando se trate de asuntos de puro derecho; </w:t>
      </w:r>
      <w:r w:rsidRPr="003E707E">
        <w:rPr>
          <w:rStyle w:val="eop"/>
          <w:rFonts w:ascii="Arial" w:hAnsi="Arial" w:cs="Arial"/>
        </w:rPr>
        <w:t> </w:t>
      </w:r>
    </w:p>
    <w:p w14:paraId="42EDCCA8"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b) Cuando no haya que practicar pruebas; </w:t>
      </w:r>
      <w:r w:rsidRPr="003E707E">
        <w:rPr>
          <w:rStyle w:val="eop"/>
          <w:rFonts w:ascii="Arial" w:hAnsi="Arial" w:cs="Arial"/>
        </w:rPr>
        <w:t> </w:t>
      </w:r>
    </w:p>
    <w:p w14:paraId="37D11156"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c) Cuando solo se solicite tener como pruebas las documentales aportadas con la demanda y la contestación, y sobre ellas no se hubiese formulado tacha o desconocimiento; </w:t>
      </w:r>
      <w:r w:rsidRPr="003E707E">
        <w:rPr>
          <w:rStyle w:val="eop"/>
          <w:rFonts w:ascii="Arial" w:hAnsi="Arial" w:cs="Arial"/>
        </w:rPr>
        <w:t> </w:t>
      </w:r>
    </w:p>
    <w:p w14:paraId="6A92F4F2"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d) Cuando las pruebas solicitadas por las partes sean impertinentes, inconducentes o inútiles. </w:t>
      </w:r>
      <w:r w:rsidRPr="003E707E">
        <w:rPr>
          <w:rStyle w:val="eop"/>
          <w:rFonts w:ascii="Arial" w:hAnsi="Arial" w:cs="Arial"/>
        </w:rPr>
        <w:t> </w:t>
      </w:r>
    </w:p>
    <w:p w14:paraId="22CBC68D"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7E8CD281"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El juez o magistrado ponente, mediante auto, se pronunciará sobre las pruebas cuando a ello haya lugar, dando aplicación a lo dispuesto en el artículo 173 del Código General del Proceso y fijará el litigio u objeto de controversia.</w:t>
      </w:r>
      <w:r w:rsidRPr="003E707E">
        <w:rPr>
          <w:rStyle w:val="eop"/>
          <w:rFonts w:ascii="Arial" w:hAnsi="Arial" w:cs="Arial"/>
        </w:rPr>
        <w:t> </w:t>
      </w:r>
    </w:p>
    <w:p w14:paraId="7B74A368"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44ADD96C"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lastRenderedPageBreak/>
        <w:t>Cumplido lo anterior, se correrá traslado para alegar en la forma prevista en el inciso final del artículo 181 de este código y la sentencia se expedirá por escrito. </w:t>
      </w:r>
      <w:r w:rsidRPr="003E707E">
        <w:rPr>
          <w:rStyle w:val="eop"/>
          <w:rFonts w:ascii="Arial" w:hAnsi="Arial" w:cs="Arial"/>
        </w:rPr>
        <w:t> </w:t>
      </w:r>
    </w:p>
    <w:p w14:paraId="5C7ADBD3"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70501474"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No obstante estar cumplidos los presupuestos para proferir sentencia anticipada con base en este numeral, si el juez o magistrado ponente considera necesario realizar la audiencia inicial podrá hacerlo, para lo cual se aplicará lo dispuesto en los artículos 179 y 180 de este código. </w:t>
      </w:r>
      <w:r w:rsidRPr="003E707E">
        <w:rPr>
          <w:rStyle w:val="eop"/>
          <w:rFonts w:ascii="Arial" w:hAnsi="Arial" w:cs="Arial"/>
        </w:rPr>
        <w:t> </w:t>
      </w:r>
    </w:p>
    <w:p w14:paraId="4B2D8812"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2CCA03F7"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2. En cualquier estado del proceso, cuando las partes o sus apoderados de común acuerdo lo soliciten, sea por iniciativa propia o por sugerencia del juez. Si la solicitud se presenta en el transcurso de una audiencia, se dará traslado para alegar dentro de ella. Si se hace por escrito, las partes podrán allegar con la petición sus alegatos de conclusión, de lo cual se dará traslado por diez (10) días comunes al Ministerio Público y demás intervinientes. El juzgador rechazará la solicitud cuando advierta fraude o colusión. </w:t>
      </w:r>
      <w:r w:rsidRPr="003E707E">
        <w:rPr>
          <w:rStyle w:val="eop"/>
          <w:rFonts w:ascii="Arial" w:hAnsi="Arial" w:cs="Arial"/>
        </w:rPr>
        <w:t> </w:t>
      </w:r>
    </w:p>
    <w:p w14:paraId="5D06E402"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6C66134A"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Si en el proceso intervienen litisconsortes necesarios, la petición deberá realizarse conjuntamente con estos. Con la aceptación de esta petición por parte del juez, se entenderán desistidos los recursos que hubieren formulado los peticionarios contra decisiones interlocutorias que estén pendientes de tramitar o resolver. </w:t>
      </w:r>
      <w:r w:rsidRPr="003E707E">
        <w:rPr>
          <w:rStyle w:val="eop"/>
          <w:rFonts w:ascii="Arial" w:hAnsi="Arial" w:cs="Arial"/>
        </w:rPr>
        <w:t> </w:t>
      </w:r>
    </w:p>
    <w:p w14:paraId="22FEF3AC"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29D6D5A4"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3. En cualquier estado del proceso, cuando el juzgador encuentre probada la cosa juzgada, la caducidad, la transacción, la conciliación, la falta manifiesta de legitimación en la causa y la prescripción extintiva. </w:t>
      </w:r>
      <w:r w:rsidRPr="003E707E">
        <w:rPr>
          <w:rStyle w:val="eop"/>
          <w:rFonts w:ascii="Arial" w:hAnsi="Arial" w:cs="Arial"/>
        </w:rPr>
        <w:t> </w:t>
      </w:r>
    </w:p>
    <w:p w14:paraId="31CECB59"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655BD5D8"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4. En caso de allanamiento o transacción de conformidad con el artículo 176 de este código.</w:t>
      </w:r>
      <w:r w:rsidRPr="003E707E">
        <w:rPr>
          <w:rStyle w:val="eop"/>
          <w:rFonts w:ascii="Arial" w:hAnsi="Arial" w:cs="Arial"/>
        </w:rPr>
        <w:t> </w:t>
      </w:r>
    </w:p>
    <w:p w14:paraId="0F27A85F"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eop"/>
          <w:rFonts w:ascii="Arial" w:hAnsi="Arial" w:cs="Arial"/>
        </w:rPr>
        <w:t> </w:t>
      </w:r>
    </w:p>
    <w:p w14:paraId="7F73035F" w14:textId="77777777" w:rsidR="00D5312B" w:rsidRPr="003E707E" w:rsidRDefault="00D5312B" w:rsidP="00D5312B">
      <w:pPr>
        <w:pStyle w:val="paragraph"/>
        <w:spacing w:before="0" w:beforeAutospacing="0" w:after="0" w:afterAutospacing="0"/>
        <w:ind w:left="555"/>
        <w:jc w:val="both"/>
        <w:textAlignment w:val="baseline"/>
        <w:rPr>
          <w:rFonts w:ascii="Segoe UI" w:hAnsi="Segoe UI" w:cs="Segoe UI"/>
          <w:sz w:val="18"/>
          <w:szCs w:val="18"/>
        </w:rPr>
      </w:pPr>
      <w:r w:rsidRPr="003E707E">
        <w:rPr>
          <w:rStyle w:val="normaltextrun"/>
          <w:rFonts w:ascii="Arial" w:eastAsiaTheme="minorEastAsia" w:hAnsi="Arial" w:cs="Arial"/>
          <w:i/>
          <w:iCs/>
          <w:lang w:val="es-ES"/>
        </w:rPr>
        <w:t>Parágrafo. En la providencia que corra traslado para alegar, se indicará la razón por la cual dictará sentencia anticipada. Si se trata de la causal del numeral 3 de este artículo, precisará sobre cuál o cuáles de las excepciones se pronunciará. Surtido el traslado mencionado se proferirá sentencia oral o escrita, según se considere. No obstante, escuchados los alegatos, se podrá reconsiderar la decisión de proferir sentencia anticipada. En este caso continuará el trámite del proceso”.</w:t>
      </w:r>
      <w:r w:rsidRPr="003E707E">
        <w:rPr>
          <w:rStyle w:val="eop"/>
          <w:rFonts w:ascii="Arial" w:hAnsi="Arial" w:cs="Arial"/>
        </w:rPr>
        <w:t> </w:t>
      </w:r>
    </w:p>
    <w:p w14:paraId="7A5562EC"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rPr>
        <w:t> </w:t>
      </w:r>
      <w:r w:rsidRPr="003E707E">
        <w:rPr>
          <w:rStyle w:val="eop"/>
          <w:rFonts w:ascii="Arial" w:hAnsi="Arial" w:cs="Arial"/>
          <w:sz w:val="26"/>
          <w:szCs w:val="26"/>
        </w:rPr>
        <w:t> </w:t>
      </w:r>
    </w:p>
    <w:p w14:paraId="62E77F98"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 xml:space="preserve">En el presente asunto, en el que se reclama el reconocimiento de una pensión gracia, se encuentra que la parte actora solicitó en la demanda oficiar a la Secretaría de Educación Departamental del </w:t>
      </w:r>
      <w:r w:rsidRPr="003E707E">
        <w:rPr>
          <w:rStyle w:val="normaltextrun"/>
          <w:rFonts w:ascii="Arial" w:eastAsiaTheme="minorEastAsia" w:hAnsi="Arial" w:cs="Arial"/>
          <w:sz w:val="26"/>
          <w:szCs w:val="26"/>
          <w:lang w:val="es-ES"/>
        </w:rPr>
        <w:lastRenderedPageBreak/>
        <w:t>Cauca, a fin de que remitiera los actos administrativos del 25 de enero de 1968, 1 de octubre de 1970 y 8 de febrero de 1972, por los cuales se efectuaron diferentes vinculaciones, así como del emitido el 12 de diciembre de 2001, por la cual se resolvió una petición de reconocimiento de tal prestación. </w:t>
      </w:r>
      <w:r w:rsidRPr="003E707E">
        <w:rPr>
          <w:rStyle w:val="eop"/>
          <w:rFonts w:ascii="Arial" w:eastAsiaTheme="minorEastAsia" w:hAnsi="Arial" w:cs="Arial"/>
          <w:sz w:val="26"/>
          <w:szCs w:val="26"/>
        </w:rPr>
        <w:t> </w:t>
      </w:r>
    </w:p>
    <w:p w14:paraId="6616C7CD"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eop"/>
          <w:rFonts w:ascii="Arial" w:eastAsiaTheme="minorEastAsia" w:hAnsi="Arial" w:cs="Arial"/>
          <w:sz w:val="26"/>
          <w:szCs w:val="26"/>
        </w:rPr>
        <w:t> </w:t>
      </w:r>
    </w:p>
    <w:p w14:paraId="12FBFEA8" w14:textId="0C0493CD"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 xml:space="preserve">No obstante, se advierte que junto con la contestación, la entidad accionada allegó el expediente administrativo de la actora, </w:t>
      </w:r>
      <w:r w:rsidRPr="003E707E">
        <w:rPr>
          <w:rStyle w:val="normaltextrun"/>
          <w:rFonts w:ascii="Arial" w:eastAsiaTheme="minorEastAsia" w:hAnsi="Arial" w:cs="Arial"/>
          <w:sz w:val="26"/>
          <w:szCs w:val="26"/>
          <w:lang w:val="es-ES"/>
        </w:rPr>
        <w:t xml:space="preserve">donde </w:t>
      </w:r>
      <w:r w:rsidRPr="003E707E">
        <w:rPr>
          <w:rStyle w:val="normaltextrun"/>
          <w:rFonts w:ascii="Arial" w:eastAsiaTheme="minorEastAsia" w:hAnsi="Arial" w:cs="Arial"/>
          <w:sz w:val="26"/>
          <w:szCs w:val="26"/>
          <w:lang w:val="es-ES"/>
        </w:rPr>
        <w:t>aparecen</w:t>
      </w:r>
      <w:r w:rsidR="0012384A">
        <w:rPr>
          <w:rStyle w:val="normaltextrun"/>
          <w:rFonts w:ascii="Arial" w:eastAsiaTheme="minorEastAsia" w:hAnsi="Arial" w:cs="Arial"/>
          <w:sz w:val="26"/>
          <w:szCs w:val="26"/>
          <w:lang w:val="es-ES"/>
        </w:rPr>
        <w:t xml:space="preserve"> tales actos y </w:t>
      </w:r>
      <w:r w:rsidRPr="003E707E">
        <w:rPr>
          <w:rStyle w:val="normaltextrun"/>
          <w:rFonts w:ascii="Arial" w:eastAsiaTheme="minorEastAsia" w:hAnsi="Arial" w:cs="Arial"/>
          <w:sz w:val="26"/>
          <w:szCs w:val="26"/>
          <w:lang w:val="es-ES"/>
        </w:rPr>
        <w:t>diferentes constancias de tiempos de servicios en las que se da cuenta de las vinculaciones que ha tenido la demandante y su carácter, respecto de los cuales no se ha presentado objeción alguna, y que se constituyen en elementos suficientes para absolver si</w:t>
      </w:r>
      <w:r w:rsidR="0012384A">
        <w:rPr>
          <w:rStyle w:val="normaltextrun"/>
          <w:rFonts w:ascii="Arial" w:eastAsiaTheme="minorEastAsia" w:hAnsi="Arial" w:cs="Arial"/>
          <w:sz w:val="26"/>
          <w:szCs w:val="26"/>
          <w:lang w:val="es-ES"/>
        </w:rPr>
        <w:t xml:space="preserve"> </w:t>
      </w:r>
      <w:r w:rsidRPr="003E707E">
        <w:rPr>
          <w:rStyle w:val="normaltextrun"/>
          <w:rFonts w:ascii="Arial" w:eastAsiaTheme="minorEastAsia" w:hAnsi="Arial" w:cs="Arial"/>
          <w:sz w:val="26"/>
          <w:szCs w:val="26"/>
          <w:lang w:val="es-ES"/>
        </w:rPr>
        <w:t>le asiste o no derecho frente a la prestación que reclama.</w:t>
      </w:r>
      <w:r w:rsidRPr="003E707E">
        <w:rPr>
          <w:rStyle w:val="eop"/>
          <w:rFonts w:ascii="Arial" w:eastAsiaTheme="minorEastAsia" w:hAnsi="Arial" w:cs="Arial"/>
          <w:sz w:val="26"/>
          <w:szCs w:val="26"/>
        </w:rPr>
        <w:t> </w:t>
      </w:r>
    </w:p>
    <w:p w14:paraId="68653E2F"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eop"/>
          <w:rFonts w:ascii="Arial" w:eastAsiaTheme="minorEastAsia" w:hAnsi="Arial" w:cs="Arial"/>
          <w:sz w:val="26"/>
          <w:szCs w:val="26"/>
        </w:rPr>
        <w:t> </w:t>
      </w:r>
    </w:p>
    <w:p w14:paraId="0F0F7209" w14:textId="6D3E409A" w:rsidR="00D5312B" w:rsidRPr="003E707E" w:rsidRDefault="003E707E" w:rsidP="00D5312B">
      <w:pPr>
        <w:pStyle w:val="paragraph"/>
        <w:spacing w:before="0" w:beforeAutospacing="0" w:after="0" w:afterAutospacing="0"/>
        <w:jc w:val="both"/>
        <w:textAlignment w:val="baseline"/>
        <w:rPr>
          <w:rStyle w:val="eop"/>
          <w:rFonts w:ascii="Arial" w:eastAsiaTheme="minorEastAsia" w:hAnsi="Arial" w:cs="Arial"/>
          <w:sz w:val="26"/>
          <w:szCs w:val="26"/>
        </w:rPr>
      </w:pPr>
      <w:r w:rsidRPr="003E707E">
        <w:rPr>
          <w:rStyle w:val="normaltextrun"/>
          <w:rFonts w:ascii="Arial" w:eastAsiaTheme="minorEastAsia" w:hAnsi="Arial" w:cs="Arial"/>
          <w:sz w:val="26"/>
          <w:szCs w:val="26"/>
          <w:lang w:val="es-ES"/>
        </w:rPr>
        <w:t xml:space="preserve">3. </w:t>
      </w:r>
      <w:r w:rsidR="00D5312B" w:rsidRPr="003E707E">
        <w:rPr>
          <w:rStyle w:val="normaltextrun"/>
          <w:rFonts w:ascii="Arial" w:eastAsiaTheme="minorEastAsia" w:hAnsi="Arial" w:cs="Arial"/>
          <w:sz w:val="26"/>
          <w:szCs w:val="26"/>
          <w:lang w:val="es-ES"/>
        </w:rPr>
        <w:t>En ese sentido, al no</w:t>
      </w:r>
      <w:r w:rsidR="00D5312B" w:rsidRPr="003E707E">
        <w:rPr>
          <w:rStyle w:val="normaltextrun"/>
          <w:rFonts w:ascii="Arial" w:eastAsiaTheme="minorEastAsia" w:hAnsi="Arial" w:cs="Arial"/>
          <w:sz w:val="26"/>
          <w:szCs w:val="26"/>
          <w:lang w:val="es-ES"/>
        </w:rPr>
        <w:t xml:space="preserve"> existir excepciones previas a resolver</w:t>
      </w:r>
      <w:r w:rsidR="00D5312B" w:rsidRPr="003E707E">
        <w:rPr>
          <w:rStyle w:val="normaltextrun"/>
          <w:rFonts w:ascii="Arial" w:eastAsiaTheme="minorEastAsia" w:hAnsi="Arial" w:cs="Arial"/>
          <w:sz w:val="26"/>
          <w:szCs w:val="26"/>
          <w:lang w:val="es-ES"/>
        </w:rPr>
        <w:t xml:space="preserve"> y</w:t>
      </w:r>
      <w:r w:rsidR="00D5312B" w:rsidRPr="003E707E">
        <w:rPr>
          <w:rStyle w:val="normaltextrun"/>
          <w:rFonts w:ascii="Arial" w:eastAsiaTheme="minorEastAsia" w:hAnsi="Arial" w:cs="Arial"/>
          <w:sz w:val="26"/>
          <w:szCs w:val="26"/>
          <w:lang w:val="es-ES"/>
        </w:rPr>
        <w:t xml:space="preserve"> al</w:t>
      </w:r>
      <w:r w:rsidR="00D5312B" w:rsidRPr="003E707E">
        <w:rPr>
          <w:rStyle w:val="normaltextrun"/>
          <w:rFonts w:ascii="Arial" w:eastAsiaTheme="minorEastAsia" w:hAnsi="Arial" w:cs="Arial"/>
          <w:sz w:val="26"/>
          <w:szCs w:val="26"/>
          <w:lang w:val="es-ES"/>
        </w:rPr>
        <w:t xml:space="preserve"> ser innecesaria la práctica de pruebas, es procedente, bajo las causales de los literales </w:t>
      </w:r>
      <w:r w:rsidR="00D5312B" w:rsidRPr="003E707E">
        <w:rPr>
          <w:rStyle w:val="normaltextrun"/>
          <w:rFonts w:ascii="Arial" w:eastAsiaTheme="minorEastAsia" w:hAnsi="Arial" w:cs="Arial"/>
          <w:sz w:val="26"/>
          <w:szCs w:val="26"/>
          <w:lang w:val="es-ES"/>
        </w:rPr>
        <w:t xml:space="preserve">b, </w:t>
      </w:r>
      <w:r w:rsidR="00D5312B" w:rsidRPr="003E707E">
        <w:rPr>
          <w:rStyle w:val="normaltextrun"/>
          <w:rFonts w:ascii="Arial" w:eastAsiaTheme="minorEastAsia" w:hAnsi="Arial" w:cs="Arial"/>
          <w:sz w:val="26"/>
          <w:szCs w:val="26"/>
          <w:lang w:val="es-ES"/>
        </w:rPr>
        <w:t>c y d del artículo 182.1 del CPACA, correr traslado por escrito para alegar a efectos de que, cumplido ello, se resuelva el asunto mediante sentencia anticipada.</w:t>
      </w:r>
      <w:r w:rsidR="00D5312B" w:rsidRPr="003E707E">
        <w:rPr>
          <w:rStyle w:val="eop"/>
          <w:rFonts w:ascii="Arial" w:eastAsiaTheme="minorEastAsia" w:hAnsi="Arial" w:cs="Arial"/>
          <w:sz w:val="26"/>
          <w:szCs w:val="26"/>
        </w:rPr>
        <w:t> </w:t>
      </w:r>
    </w:p>
    <w:p w14:paraId="08414FF5" w14:textId="4CA50ECB" w:rsidR="003E707E" w:rsidRPr="003E707E" w:rsidRDefault="003E707E" w:rsidP="00D5312B">
      <w:pPr>
        <w:pStyle w:val="paragraph"/>
        <w:spacing w:before="0" w:beforeAutospacing="0" w:after="0" w:afterAutospacing="0"/>
        <w:jc w:val="both"/>
        <w:textAlignment w:val="baseline"/>
        <w:rPr>
          <w:rStyle w:val="eop"/>
          <w:rFonts w:ascii="Arial" w:eastAsiaTheme="minorEastAsia" w:hAnsi="Arial" w:cs="Arial"/>
          <w:sz w:val="26"/>
          <w:szCs w:val="26"/>
        </w:rPr>
      </w:pPr>
    </w:p>
    <w:p w14:paraId="733562B3" w14:textId="2BFCEB31" w:rsidR="003E707E" w:rsidRPr="003E707E" w:rsidRDefault="003E707E" w:rsidP="00D5312B">
      <w:pPr>
        <w:pStyle w:val="paragraph"/>
        <w:spacing w:before="0" w:beforeAutospacing="0" w:after="0" w:afterAutospacing="0"/>
        <w:jc w:val="both"/>
        <w:textAlignment w:val="baseline"/>
        <w:rPr>
          <w:rStyle w:val="eop"/>
          <w:rFonts w:ascii="Arial" w:eastAsiaTheme="minorEastAsia" w:hAnsi="Arial" w:cs="Arial"/>
          <w:sz w:val="26"/>
          <w:szCs w:val="26"/>
        </w:rPr>
      </w:pPr>
      <w:r w:rsidRPr="003E707E">
        <w:rPr>
          <w:rStyle w:val="eop"/>
          <w:rFonts w:ascii="Arial" w:eastAsiaTheme="minorEastAsia" w:hAnsi="Arial" w:cs="Arial"/>
          <w:sz w:val="26"/>
          <w:szCs w:val="26"/>
        </w:rPr>
        <w:t>4. Para el efecto, se fijará el litigio en los siguientes términos:</w:t>
      </w:r>
    </w:p>
    <w:p w14:paraId="20D77C09" w14:textId="05BE38D2" w:rsidR="003E707E" w:rsidRPr="003E707E" w:rsidRDefault="003E707E" w:rsidP="00D5312B">
      <w:pPr>
        <w:pStyle w:val="paragraph"/>
        <w:spacing w:before="0" w:beforeAutospacing="0" w:after="0" w:afterAutospacing="0"/>
        <w:jc w:val="both"/>
        <w:textAlignment w:val="baseline"/>
        <w:rPr>
          <w:rStyle w:val="eop"/>
          <w:rFonts w:ascii="Arial" w:eastAsiaTheme="minorEastAsia" w:hAnsi="Arial" w:cs="Arial"/>
          <w:sz w:val="26"/>
          <w:szCs w:val="26"/>
        </w:rPr>
      </w:pPr>
    </w:p>
    <w:p w14:paraId="6D9671B4" w14:textId="56E23E51" w:rsidR="003E707E" w:rsidRPr="003E707E" w:rsidRDefault="003E707E" w:rsidP="00D5312B">
      <w:pPr>
        <w:pStyle w:val="paragraph"/>
        <w:spacing w:before="0" w:beforeAutospacing="0" w:after="0" w:afterAutospacing="0"/>
        <w:jc w:val="both"/>
        <w:textAlignment w:val="baseline"/>
        <w:rPr>
          <w:rFonts w:ascii="Segoe UI" w:hAnsi="Segoe UI" w:cs="Segoe UI"/>
          <w:sz w:val="18"/>
          <w:szCs w:val="18"/>
        </w:rPr>
      </w:pPr>
      <w:r w:rsidRPr="003E707E">
        <w:rPr>
          <w:rStyle w:val="eop"/>
          <w:rFonts w:ascii="Arial" w:eastAsiaTheme="minorEastAsia" w:hAnsi="Arial" w:cs="Arial"/>
          <w:sz w:val="26"/>
          <w:szCs w:val="26"/>
        </w:rPr>
        <w:t>Corresponde a la Sala determinar si la demandante tiene o no derecho al reconocimiento de la pensión gracia, teniendo en cuenta que prestó sus servicios como docente en el departamento del Cauca desde el 25 de enero de 1968 y hasta el año 2002.</w:t>
      </w:r>
    </w:p>
    <w:p w14:paraId="43D3FF5C" w14:textId="77777777" w:rsidR="00D5312B" w:rsidRPr="003E707E" w:rsidRDefault="00D5312B" w:rsidP="00D5312B">
      <w:pPr>
        <w:pStyle w:val="paragraph"/>
        <w:spacing w:before="0" w:beforeAutospacing="0" w:after="0" w:afterAutospacing="0"/>
        <w:jc w:val="both"/>
        <w:textAlignment w:val="baseline"/>
        <w:rPr>
          <w:rStyle w:val="normaltextrun"/>
          <w:rFonts w:ascii="Arial" w:eastAsiaTheme="minorEastAsia" w:hAnsi="Arial" w:cs="Arial"/>
          <w:sz w:val="26"/>
          <w:szCs w:val="26"/>
          <w:lang w:val="es-ES"/>
        </w:rPr>
      </w:pPr>
    </w:p>
    <w:p w14:paraId="05761A4E" w14:textId="2FEF5F2D"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p>
    <w:p w14:paraId="1EDBE673" w14:textId="77777777" w:rsidR="00D5312B" w:rsidRPr="003E707E" w:rsidRDefault="00D5312B" w:rsidP="00D5312B">
      <w:pPr>
        <w:pStyle w:val="paragraph"/>
        <w:spacing w:before="0" w:beforeAutospacing="0" w:after="0" w:afterAutospacing="0"/>
        <w:jc w:val="center"/>
        <w:textAlignment w:val="baseline"/>
        <w:rPr>
          <w:rFonts w:ascii="Segoe UI" w:hAnsi="Segoe UI" w:cs="Segoe UI"/>
          <w:sz w:val="18"/>
          <w:szCs w:val="18"/>
        </w:rPr>
      </w:pPr>
      <w:r w:rsidRPr="003E707E">
        <w:rPr>
          <w:rStyle w:val="normaltextrun"/>
          <w:rFonts w:ascii="Arial" w:eastAsiaTheme="minorEastAsia" w:hAnsi="Arial" w:cs="Arial"/>
          <w:sz w:val="26"/>
          <w:szCs w:val="26"/>
          <w:lang w:val="es-MX"/>
        </w:rPr>
        <w:t>DECISIÓN</w:t>
      </w:r>
      <w:r w:rsidRPr="003E707E">
        <w:rPr>
          <w:rStyle w:val="eop"/>
          <w:rFonts w:ascii="Arial" w:hAnsi="Arial" w:cs="Arial"/>
          <w:sz w:val="26"/>
          <w:szCs w:val="26"/>
        </w:rPr>
        <w:t> </w:t>
      </w:r>
    </w:p>
    <w:p w14:paraId="75248185" w14:textId="77777777" w:rsidR="00D5312B" w:rsidRPr="003E707E" w:rsidRDefault="00D5312B" w:rsidP="00D5312B">
      <w:pPr>
        <w:pStyle w:val="paragraph"/>
        <w:spacing w:before="0" w:beforeAutospacing="0" w:after="0" w:afterAutospacing="0"/>
        <w:jc w:val="center"/>
        <w:textAlignment w:val="baseline"/>
        <w:rPr>
          <w:rFonts w:ascii="Segoe UI" w:hAnsi="Segoe UI" w:cs="Segoe UI"/>
          <w:sz w:val="18"/>
          <w:szCs w:val="18"/>
        </w:rPr>
      </w:pPr>
      <w:r w:rsidRPr="003E707E">
        <w:rPr>
          <w:rStyle w:val="eop"/>
          <w:rFonts w:ascii="Arial" w:hAnsi="Arial" w:cs="Arial"/>
          <w:sz w:val="26"/>
          <w:szCs w:val="26"/>
        </w:rPr>
        <w:t> </w:t>
      </w:r>
    </w:p>
    <w:p w14:paraId="1489D0EB" w14:textId="77777777" w:rsidR="00D5312B" w:rsidRPr="003E707E"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En mérito a lo expuesto, se RESUELVE:</w:t>
      </w:r>
      <w:r w:rsidRPr="003E707E">
        <w:rPr>
          <w:rStyle w:val="eop"/>
          <w:rFonts w:ascii="Arial" w:hAnsi="Arial" w:cs="Arial"/>
          <w:sz w:val="26"/>
          <w:szCs w:val="26"/>
        </w:rPr>
        <w:t> </w:t>
      </w:r>
    </w:p>
    <w:p w14:paraId="062075C1" w14:textId="77777777" w:rsidR="00D5312B" w:rsidRPr="003E707E" w:rsidRDefault="00D5312B" w:rsidP="00D5312B">
      <w:pPr>
        <w:pStyle w:val="paragraph"/>
        <w:spacing w:before="0" w:beforeAutospacing="0" w:after="0" w:afterAutospacing="0"/>
        <w:jc w:val="center"/>
        <w:textAlignment w:val="baseline"/>
        <w:rPr>
          <w:rFonts w:ascii="Segoe UI" w:hAnsi="Segoe UI" w:cs="Segoe UI"/>
          <w:sz w:val="18"/>
          <w:szCs w:val="18"/>
        </w:rPr>
      </w:pPr>
      <w:r w:rsidRPr="003E707E">
        <w:rPr>
          <w:rStyle w:val="eop"/>
          <w:rFonts w:ascii="Arial" w:hAnsi="Arial" w:cs="Arial"/>
          <w:sz w:val="26"/>
          <w:szCs w:val="26"/>
        </w:rPr>
        <w:t> </w:t>
      </w:r>
    </w:p>
    <w:p w14:paraId="2652314D" w14:textId="407D879C" w:rsidR="00D5312B" w:rsidRPr="003E707E" w:rsidRDefault="00D5312B" w:rsidP="00D5312B">
      <w:pPr>
        <w:pStyle w:val="paragraph"/>
        <w:spacing w:before="0" w:beforeAutospacing="0" w:after="0" w:afterAutospacing="0"/>
        <w:jc w:val="both"/>
        <w:textAlignment w:val="baseline"/>
        <w:rPr>
          <w:rStyle w:val="eop"/>
          <w:rFonts w:ascii="Arial" w:hAnsi="Arial" w:cs="Arial"/>
          <w:sz w:val="26"/>
          <w:szCs w:val="26"/>
        </w:rPr>
      </w:pPr>
      <w:r w:rsidRPr="003E707E">
        <w:rPr>
          <w:rStyle w:val="normaltextrun"/>
          <w:rFonts w:ascii="Arial" w:eastAsiaTheme="minorEastAsia" w:hAnsi="Arial" w:cs="Arial"/>
          <w:sz w:val="26"/>
          <w:szCs w:val="26"/>
          <w:lang w:val="es-ES"/>
        </w:rPr>
        <w:t>PRIMERO: Tener como pruebas, en el valor que les corresponda, las aportadas con la demanda y la contestación. </w:t>
      </w:r>
      <w:r w:rsidRPr="003E707E">
        <w:rPr>
          <w:rStyle w:val="eop"/>
          <w:rFonts w:ascii="Arial" w:hAnsi="Arial" w:cs="Arial"/>
          <w:sz w:val="26"/>
          <w:szCs w:val="26"/>
        </w:rPr>
        <w:t> </w:t>
      </w:r>
    </w:p>
    <w:p w14:paraId="2AC851E0" w14:textId="61F9CEEC" w:rsidR="003E707E" w:rsidRPr="003E707E" w:rsidRDefault="003E707E" w:rsidP="00D5312B">
      <w:pPr>
        <w:pStyle w:val="paragraph"/>
        <w:spacing w:before="0" w:beforeAutospacing="0" w:after="0" w:afterAutospacing="0"/>
        <w:jc w:val="both"/>
        <w:textAlignment w:val="baseline"/>
        <w:rPr>
          <w:rStyle w:val="eop"/>
          <w:rFonts w:ascii="Arial" w:hAnsi="Arial" w:cs="Arial"/>
          <w:sz w:val="26"/>
          <w:szCs w:val="26"/>
        </w:rPr>
      </w:pPr>
    </w:p>
    <w:p w14:paraId="2A628DFF" w14:textId="7CF372A2" w:rsidR="003E707E" w:rsidRPr="003E707E" w:rsidRDefault="003E707E" w:rsidP="003E707E">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SEGUNDO: NEGAR la práctica de las pruebas solicitadas por la parte actora en la demanda</w:t>
      </w:r>
      <w:r w:rsidRPr="003E707E">
        <w:rPr>
          <w:rStyle w:val="normaltextrun"/>
          <w:rFonts w:ascii="Arial" w:eastAsiaTheme="minorEastAsia" w:hAnsi="Arial" w:cs="Arial"/>
          <w:sz w:val="26"/>
          <w:szCs w:val="26"/>
          <w:lang w:val="es-ES"/>
        </w:rPr>
        <w:t>, según lo expuesto</w:t>
      </w:r>
      <w:r w:rsidRPr="003E707E">
        <w:rPr>
          <w:rStyle w:val="normaltextrun"/>
          <w:rFonts w:ascii="Arial" w:eastAsiaTheme="minorEastAsia" w:hAnsi="Arial" w:cs="Arial"/>
          <w:sz w:val="26"/>
          <w:szCs w:val="26"/>
          <w:lang w:val="es-ES"/>
        </w:rPr>
        <w:t>. </w:t>
      </w:r>
      <w:r w:rsidRPr="003E707E">
        <w:rPr>
          <w:rStyle w:val="eop"/>
          <w:rFonts w:ascii="Arial" w:eastAsiaTheme="minorEastAsia" w:hAnsi="Arial" w:cs="Arial"/>
          <w:sz w:val="26"/>
          <w:szCs w:val="26"/>
        </w:rPr>
        <w:t> </w:t>
      </w:r>
    </w:p>
    <w:p w14:paraId="21EE37CB" w14:textId="77777777" w:rsidR="003E707E" w:rsidRPr="003E707E" w:rsidRDefault="003E707E" w:rsidP="003E707E">
      <w:pPr>
        <w:pStyle w:val="paragraph"/>
        <w:spacing w:before="0" w:beforeAutospacing="0" w:after="0" w:afterAutospacing="0"/>
        <w:jc w:val="both"/>
        <w:textAlignment w:val="baseline"/>
        <w:rPr>
          <w:rFonts w:ascii="Segoe UI" w:hAnsi="Segoe UI" w:cs="Segoe UI"/>
          <w:sz w:val="18"/>
          <w:szCs w:val="18"/>
        </w:rPr>
      </w:pPr>
      <w:r w:rsidRPr="003E707E">
        <w:rPr>
          <w:rStyle w:val="eop"/>
          <w:rFonts w:ascii="Arial" w:eastAsiaTheme="minorEastAsia" w:hAnsi="Arial" w:cs="Arial"/>
          <w:sz w:val="26"/>
          <w:szCs w:val="26"/>
        </w:rPr>
        <w:t> </w:t>
      </w:r>
    </w:p>
    <w:p w14:paraId="40F94643" w14:textId="77777777" w:rsidR="00D5312B" w:rsidRDefault="00D5312B" w:rsidP="00D5312B">
      <w:pPr>
        <w:pStyle w:val="paragraph"/>
        <w:spacing w:before="0" w:beforeAutospacing="0" w:after="0" w:afterAutospacing="0"/>
        <w:jc w:val="both"/>
        <w:textAlignment w:val="baseline"/>
        <w:rPr>
          <w:rFonts w:ascii="Segoe UI" w:hAnsi="Segoe UI" w:cs="Segoe UI"/>
          <w:sz w:val="18"/>
          <w:szCs w:val="18"/>
        </w:rPr>
      </w:pPr>
      <w:r w:rsidRPr="003E707E">
        <w:rPr>
          <w:rStyle w:val="normaltextrun"/>
          <w:rFonts w:ascii="Arial" w:eastAsiaTheme="minorEastAsia" w:hAnsi="Arial" w:cs="Arial"/>
          <w:sz w:val="26"/>
          <w:szCs w:val="26"/>
          <w:lang w:val="es-ES"/>
        </w:rPr>
        <w:t xml:space="preserve">TERCERO: CORRER traslado para alegar de conclusión, por el término de 10 días, de conformidad con el inciso final del artículo </w:t>
      </w:r>
      <w:r>
        <w:rPr>
          <w:rStyle w:val="normaltextrun"/>
          <w:rFonts w:ascii="Arial" w:eastAsiaTheme="minorEastAsia" w:hAnsi="Arial" w:cs="Arial"/>
          <w:color w:val="262626"/>
          <w:sz w:val="26"/>
          <w:szCs w:val="26"/>
          <w:lang w:val="es-ES"/>
        </w:rPr>
        <w:t>181 del CPACA, tal y como lo señala el artículo 182A </w:t>
      </w:r>
      <w:r>
        <w:rPr>
          <w:rStyle w:val="normaltextrun"/>
          <w:rFonts w:ascii="Arial" w:eastAsiaTheme="minorEastAsia" w:hAnsi="Arial" w:cs="Arial"/>
          <w:i/>
          <w:iCs/>
          <w:color w:val="262626"/>
          <w:sz w:val="26"/>
          <w:szCs w:val="26"/>
          <w:lang w:val="es-ES"/>
        </w:rPr>
        <w:t>ib</w:t>
      </w:r>
      <w:r>
        <w:rPr>
          <w:rStyle w:val="superscript"/>
          <w:rFonts w:ascii="Arial" w:hAnsi="Arial" w:cs="Arial"/>
          <w:color w:val="262626"/>
          <w:sz w:val="20"/>
          <w:szCs w:val="20"/>
          <w:vertAlign w:val="superscript"/>
          <w:lang w:val="es-ES"/>
        </w:rPr>
        <w:t>2</w:t>
      </w:r>
      <w:r>
        <w:rPr>
          <w:rStyle w:val="normaltextrun"/>
          <w:rFonts w:ascii="Arial" w:eastAsiaTheme="minorEastAsia" w:hAnsi="Arial" w:cs="Arial"/>
          <w:i/>
          <w:iCs/>
          <w:color w:val="262626"/>
          <w:sz w:val="26"/>
          <w:szCs w:val="26"/>
          <w:lang w:val="es-ES"/>
        </w:rPr>
        <w:t>.</w:t>
      </w:r>
      <w:r>
        <w:rPr>
          <w:rStyle w:val="normaltextrun"/>
          <w:rFonts w:ascii="Arial" w:eastAsiaTheme="minorEastAsia" w:hAnsi="Arial" w:cs="Arial"/>
          <w:color w:val="262626"/>
          <w:sz w:val="26"/>
          <w:szCs w:val="26"/>
          <w:lang w:val="es-ES"/>
        </w:rPr>
        <w:t xml:space="preserve"> En la </w:t>
      </w:r>
      <w:r>
        <w:rPr>
          <w:rStyle w:val="normaltextrun"/>
          <w:rFonts w:ascii="Arial" w:eastAsiaTheme="minorEastAsia" w:hAnsi="Arial" w:cs="Arial"/>
          <w:color w:val="262626"/>
          <w:sz w:val="26"/>
          <w:szCs w:val="26"/>
          <w:lang w:val="es-ES"/>
        </w:rPr>
        <w:lastRenderedPageBreak/>
        <w:t>misma oportunidad, el Ministerio Público podrá presentar concepto, si a bien lo tiene.</w:t>
      </w:r>
      <w:r>
        <w:rPr>
          <w:rStyle w:val="eop"/>
          <w:rFonts w:ascii="Arial" w:hAnsi="Arial" w:cs="Arial"/>
          <w:color w:val="262626"/>
          <w:sz w:val="26"/>
          <w:szCs w:val="26"/>
        </w:rPr>
        <w:t> </w:t>
      </w:r>
    </w:p>
    <w:p w14:paraId="36094CEF" w14:textId="77777777" w:rsidR="00D5312B" w:rsidRDefault="00D5312B" w:rsidP="00D5312B">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262626"/>
          <w:sz w:val="26"/>
          <w:szCs w:val="26"/>
        </w:rPr>
        <w:t> </w:t>
      </w:r>
    </w:p>
    <w:p w14:paraId="1DD94970" w14:textId="77777777" w:rsidR="00D5312B" w:rsidRDefault="00D5312B" w:rsidP="00D5312B">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inorEastAsia" w:hAnsi="Arial" w:cs="Arial"/>
          <w:color w:val="262626"/>
          <w:sz w:val="26"/>
          <w:szCs w:val="26"/>
          <w:lang w:val="es-ES"/>
        </w:rPr>
        <w:t>CUARTO: Vencido el término anterior, pasar el proceso a Despacho, para emitir sentencia anticipada. </w:t>
      </w:r>
      <w:r>
        <w:rPr>
          <w:rStyle w:val="eop"/>
          <w:rFonts w:ascii="Arial" w:hAnsi="Arial" w:cs="Arial"/>
          <w:color w:val="262626"/>
          <w:sz w:val="26"/>
          <w:szCs w:val="26"/>
        </w:rPr>
        <w:t> </w:t>
      </w:r>
    </w:p>
    <w:p w14:paraId="33E314A5" w14:textId="77777777" w:rsidR="00D5312B" w:rsidRDefault="00D5312B" w:rsidP="00D5312B">
      <w:pPr>
        <w:pStyle w:val="paragraph"/>
        <w:spacing w:before="0" w:beforeAutospacing="0" w:after="0" w:afterAutospacing="0"/>
        <w:jc w:val="both"/>
        <w:textAlignment w:val="baseline"/>
        <w:rPr>
          <w:rFonts w:ascii="Segoe UI" w:hAnsi="Segoe UI" w:cs="Segoe UI"/>
          <w:sz w:val="18"/>
          <w:szCs w:val="18"/>
        </w:rPr>
      </w:pPr>
      <w:r>
        <w:rPr>
          <w:rStyle w:val="eop"/>
          <w:rFonts w:ascii="Arial" w:hAnsi="Arial" w:cs="Arial"/>
          <w:color w:val="262626"/>
          <w:sz w:val="26"/>
          <w:szCs w:val="26"/>
        </w:rPr>
        <w:t> </w:t>
      </w:r>
    </w:p>
    <w:p w14:paraId="299BD84E" w14:textId="77777777" w:rsidR="00D5312B" w:rsidRDefault="00D5312B" w:rsidP="00D5312B">
      <w:pPr>
        <w:pStyle w:val="paragraph"/>
        <w:spacing w:before="0" w:beforeAutospacing="0" w:after="0" w:afterAutospacing="0"/>
        <w:jc w:val="both"/>
        <w:textAlignment w:val="baseline"/>
        <w:rPr>
          <w:rFonts w:ascii="Segoe UI" w:hAnsi="Segoe UI" w:cs="Segoe UI"/>
          <w:sz w:val="18"/>
          <w:szCs w:val="18"/>
        </w:rPr>
      </w:pPr>
      <w:r>
        <w:rPr>
          <w:rStyle w:val="normaltextrun"/>
          <w:rFonts w:ascii="Arial" w:eastAsiaTheme="minorEastAsia" w:hAnsi="Arial" w:cs="Arial"/>
          <w:color w:val="262626"/>
          <w:sz w:val="26"/>
          <w:szCs w:val="26"/>
          <w:lang w:val="es-MX"/>
        </w:rPr>
        <w:t>  </w:t>
      </w:r>
      <w:r>
        <w:rPr>
          <w:rStyle w:val="eop"/>
          <w:rFonts w:ascii="Arial" w:hAnsi="Arial" w:cs="Arial"/>
          <w:color w:val="262626"/>
          <w:sz w:val="26"/>
          <w:szCs w:val="26"/>
        </w:rPr>
        <w:t> </w:t>
      </w:r>
    </w:p>
    <w:p w14:paraId="5AC6046C" w14:textId="77777777" w:rsidR="00D5312B" w:rsidRDefault="00D5312B" w:rsidP="00D5312B">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eastAsiaTheme="minorEastAsia" w:hAnsi="Arial" w:cs="Arial"/>
          <w:color w:val="262626"/>
          <w:sz w:val="26"/>
          <w:szCs w:val="26"/>
          <w:lang w:val="es-ES"/>
        </w:rPr>
        <w:t>NOTIFÍQUESE Y CÚMPLASE,</w:t>
      </w:r>
      <w:r>
        <w:rPr>
          <w:rStyle w:val="eop"/>
          <w:rFonts w:ascii="Arial" w:hAnsi="Arial" w:cs="Arial"/>
          <w:color w:val="262626"/>
          <w:sz w:val="26"/>
          <w:szCs w:val="26"/>
        </w:rPr>
        <w:t> </w:t>
      </w:r>
    </w:p>
    <w:p w14:paraId="79A48623" w14:textId="64BA1486" w:rsidR="00D5312B" w:rsidRDefault="00D5312B" w:rsidP="00D5312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262626"/>
          <w:sz w:val="26"/>
          <w:szCs w:val="26"/>
        </w:rPr>
        <w:t> </w:t>
      </w:r>
    </w:p>
    <w:p w14:paraId="37BAE3ED" w14:textId="77777777" w:rsidR="00D5312B" w:rsidRDefault="00D5312B" w:rsidP="00D5312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262626"/>
          <w:sz w:val="26"/>
          <w:szCs w:val="26"/>
        </w:rPr>
        <w:t> </w:t>
      </w:r>
    </w:p>
    <w:p w14:paraId="17C6D4A4" w14:textId="77777777" w:rsidR="00D5312B" w:rsidRDefault="00D5312B" w:rsidP="00D5312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262626"/>
          <w:sz w:val="26"/>
          <w:szCs w:val="26"/>
        </w:rPr>
        <w:t> </w:t>
      </w:r>
    </w:p>
    <w:p w14:paraId="41D84D60" w14:textId="77777777" w:rsidR="00D5312B" w:rsidRDefault="00D5312B" w:rsidP="00D5312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262626"/>
          <w:sz w:val="26"/>
          <w:szCs w:val="26"/>
        </w:rPr>
        <w:t> </w:t>
      </w:r>
    </w:p>
    <w:p w14:paraId="221D45C0" w14:textId="77777777" w:rsidR="00D5312B" w:rsidRDefault="00D5312B" w:rsidP="00D5312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262626"/>
          <w:sz w:val="26"/>
          <w:szCs w:val="26"/>
        </w:rPr>
        <w:t> </w:t>
      </w:r>
    </w:p>
    <w:p w14:paraId="5809A37A" w14:textId="77777777" w:rsidR="00D5312B" w:rsidRDefault="00D5312B" w:rsidP="00D5312B">
      <w:pPr>
        <w:pStyle w:val="paragraph"/>
        <w:spacing w:before="0" w:beforeAutospacing="0" w:after="0" w:afterAutospacing="0"/>
        <w:jc w:val="center"/>
        <w:textAlignment w:val="baseline"/>
        <w:rPr>
          <w:rFonts w:ascii="Segoe UI" w:hAnsi="Segoe UI" w:cs="Segoe UI"/>
          <w:sz w:val="18"/>
          <w:szCs w:val="18"/>
        </w:rPr>
      </w:pPr>
      <w:r>
        <w:rPr>
          <w:rStyle w:val="eop"/>
          <w:rFonts w:ascii="Arial" w:hAnsi="Arial" w:cs="Arial"/>
          <w:color w:val="262626"/>
          <w:sz w:val="26"/>
          <w:szCs w:val="26"/>
        </w:rPr>
        <w:t> </w:t>
      </w:r>
    </w:p>
    <w:p w14:paraId="341CB10B" w14:textId="77777777" w:rsidR="002F7D1D" w:rsidRPr="001F2D25" w:rsidRDefault="002F7D1D">
      <w:pPr>
        <w:rPr>
          <w:rFonts w:ascii="Arial" w:hAnsi="Arial" w:cs="Arial"/>
        </w:rPr>
      </w:pPr>
    </w:p>
    <w:sectPr w:rsidR="002F7D1D" w:rsidRPr="001F2D25" w:rsidSect="00B737D7">
      <w:footerReference w:type="default" r:id="rId10"/>
      <w:footerReference w:type="first" r:id="rId11"/>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9FA043" w14:textId="77777777" w:rsidR="006F5AEC" w:rsidRDefault="006F5AEC">
      <w:pPr>
        <w:spacing w:after="0" w:line="240" w:lineRule="auto"/>
      </w:pPr>
      <w:r>
        <w:separator/>
      </w:r>
    </w:p>
  </w:endnote>
  <w:endnote w:type="continuationSeparator" w:id="0">
    <w:p w14:paraId="40C8ABE1" w14:textId="77777777" w:rsidR="006F5AEC" w:rsidRDefault="006F5A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00566093"/>
      <w:docPartObj>
        <w:docPartGallery w:val="Page Numbers (Bottom of Page)"/>
        <w:docPartUnique/>
      </w:docPartObj>
    </w:sdtPr>
    <w:sdtEndPr/>
    <w:sdtContent>
      <w:p w14:paraId="586E939E"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3</w:t>
        </w:r>
        <w:r>
          <w:fldChar w:fldCharType="end"/>
        </w:r>
      </w:p>
    </w:sdtContent>
  </w:sdt>
  <w:p w14:paraId="2521E8EB" w14:textId="77777777" w:rsidR="00224C42" w:rsidRDefault="006F5AEC">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4958699"/>
      <w:docPartObj>
        <w:docPartGallery w:val="Page Numbers (Bottom of Page)"/>
        <w:docPartUnique/>
      </w:docPartObj>
    </w:sdtPr>
    <w:sdtEndPr/>
    <w:sdtContent>
      <w:p w14:paraId="65574588" w14:textId="77777777" w:rsidR="00224C42" w:rsidRDefault="00F57547">
        <w:pPr>
          <w:pStyle w:val="Piedepgina"/>
          <w:jc w:val="right"/>
        </w:pPr>
        <w:r>
          <w:fldChar w:fldCharType="begin"/>
        </w:r>
        <w:r>
          <w:instrText>PAGE   \* MERGEFORMAT</w:instrText>
        </w:r>
        <w:r>
          <w:fldChar w:fldCharType="separate"/>
        </w:r>
        <w:r w:rsidR="00306339" w:rsidRPr="00306339">
          <w:rPr>
            <w:noProof/>
            <w:lang w:val="es-ES"/>
          </w:rPr>
          <w:t>1</w:t>
        </w:r>
        <w:r>
          <w:fldChar w:fldCharType="end"/>
        </w:r>
      </w:p>
    </w:sdtContent>
  </w:sdt>
  <w:p w14:paraId="60134C65" w14:textId="77777777" w:rsidR="00224C42" w:rsidRDefault="006F5AEC">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3B1D3" w14:textId="77777777" w:rsidR="006F5AEC" w:rsidRDefault="006F5AEC">
      <w:pPr>
        <w:spacing w:after="0" w:line="240" w:lineRule="auto"/>
      </w:pPr>
      <w:r>
        <w:separator/>
      </w:r>
    </w:p>
  </w:footnote>
  <w:footnote w:type="continuationSeparator" w:id="0">
    <w:p w14:paraId="1977F5C3" w14:textId="77777777" w:rsidR="006F5AEC" w:rsidRDefault="006F5AE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4ECD"/>
    <w:rsid w:val="000D6A0D"/>
    <w:rsid w:val="000F105D"/>
    <w:rsid w:val="0012384A"/>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A0FA3"/>
    <w:rsid w:val="003B379B"/>
    <w:rsid w:val="003E707E"/>
    <w:rsid w:val="00407892"/>
    <w:rsid w:val="00416014"/>
    <w:rsid w:val="004430DA"/>
    <w:rsid w:val="00462075"/>
    <w:rsid w:val="004C270A"/>
    <w:rsid w:val="00532C33"/>
    <w:rsid w:val="00565605"/>
    <w:rsid w:val="00591BD3"/>
    <w:rsid w:val="005B3ECD"/>
    <w:rsid w:val="005C690E"/>
    <w:rsid w:val="005D343D"/>
    <w:rsid w:val="00607AE8"/>
    <w:rsid w:val="006E320B"/>
    <w:rsid w:val="006F5AEC"/>
    <w:rsid w:val="00764314"/>
    <w:rsid w:val="007D59E3"/>
    <w:rsid w:val="00823B31"/>
    <w:rsid w:val="00857522"/>
    <w:rsid w:val="00926ADA"/>
    <w:rsid w:val="00965363"/>
    <w:rsid w:val="0096597C"/>
    <w:rsid w:val="009E3199"/>
    <w:rsid w:val="00A461DF"/>
    <w:rsid w:val="00A62E46"/>
    <w:rsid w:val="00B47DA4"/>
    <w:rsid w:val="00B713D2"/>
    <w:rsid w:val="00C43096"/>
    <w:rsid w:val="00C53F95"/>
    <w:rsid w:val="00C5649B"/>
    <w:rsid w:val="00CC64F1"/>
    <w:rsid w:val="00CF03D9"/>
    <w:rsid w:val="00D111DA"/>
    <w:rsid w:val="00D5312B"/>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 w:type="paragraph" w:customStyle="1" w:styleId="paragraph">
    <w:name w:val="paragraph"/>
    <w:basedOn w:val="Normal"/>
    <w:rsid w:val="00D5312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D5312B"/>
  </w:style>
  <w:style w:type="character" w:customStyle="1" w:styleId="eop">
    <w:name w:val="eop"/>
    <w:basedOn w:val="Fuentedeprrafopredeter"/>
    <w:rsid w:val="00D5312B"/>
  </w:style>
  <w:style w:type="character" w:customStyle="1" w:styleId="tabchar">
    <w:name w:val="tabchar"/>
    <w:basedOn w:val="Fuentedeprrafopredeter"/>
    <w:rsid w:val="00D5312B"/>
  </w:style>
  <w:style w:type="character" w:customStyle="1" w:styleId="superscript">
    <w:name w:val="superscript"/>
    <w:basedOn w:val="Fuentedeprrafopredeter"/>
    <w:rsid w:val="00D5312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64892777">
      <w:bodyDiv w:val="1"/>
      <w:marLeft w:val="0"/>
      <w:marRight w:val="0"/>
      <w:marTop w:val="0"/>
      <w:marBottom w:val="0"/>
      <w:divBdr>
        <w:top w:val="none" w:sz="0" w:space="0" w:color="auto"/>
        <w:left w:val="none" w:sz="0" w:space="0" w:color="auto"/>
        <w:bottom w:val="none" w:sz="0" w:space="0" w:color="auto"/>
        <w:right w:val="none" w:sz="0" w:space="0" w:color="auto"/>
      </w:divBdr>
      <w:divsChild>
        <w:div w:id="388068917">
          <w:marLeft w:val="0"/>
          <w:marRight w:val="0"/>
          <w:marTop w:val="0"/>
          <w:marBottom w:val="0"/>
          <w:divBdr>
            <w:top w:val="none" w:sz="0" w:space="0" w:color="auto"/>
            <w:left w:val="none" w:sz="0" w:space="0" w:color="auto"/>
            <w:bottom w:val="none" w:sz="0" w:space="0" w:color="auto"/>
            <w:right w:val="none" w:sz="0" w:space="0" w:color="auto"/>
          </w:divBdr>
        </w:div>
        <w:div w:id="9381824">
          <w:marLeft w:val="0"/>
          <w:marRight w:val="0"/>
          <w:marTop w:val="0"/>
          <w:marBottom w:val="0"/>
          <w:divBdr>
            <w:top w:val="none" w:sz="0" w:space="0" w:color="auto"/>
            <w:left w:val="none" w:sz="0" w:space="0" w:color="auto"/>
            <w:bottom w:val="none" w:sz="0" w:space="0" w:color="auto"/>
            <w:right w:val="none" w:sz="0" w:space="0" w:color="auto"/>
          </w:divBdr>
        </w:div>
        <w:div w:id="27066489">
          <w:marLeft w:val="0"/>
          <w:marRight w:val="0"/>
          <w:marTop w:val="0"/>
          <w:marBottom w:val="0"/>
          <w:divBdr>
            <w:top w:val="none" w:sz="0" w:space="0" w:color="auto"/>
            <w:left w:val="none" w:sz="0" w:space="0" w:color="auto"/>
            <w:bottom w:val="none" w:sz="0" w:space="0" w:color="auto"/>
            <w:right w:val="none" w:sz="0" w:space="0" w:color="auto"/>
          </w:divBdr>
        </w:div>
        <w:div w:id="776558834">
          <w:marLeft w:val="0"/>
          <w:marRight w:val="0"/>
          <w:marTop w:val="0"/>
          <w:marBottom w:val="0"/>
          <w:divBdr>
            <w:top w:val="none" w:sz="0" w:space="0" w:color="auto"/>
            <w:left w:val="none" w:sz="0" w:space="0" w:color="auto"/>
            <w:bottom w:val="none" w:sz="0" w:space="0" w:color="auto"/>
            <w:right w:val="none" w:sz="0" w:space="0" w:color="auto"/>
          </w:divBdr>
        </w:div>
      </w:divsChild>
    </w:div>
    <w:div w:id="1722709149">
      <w:bodyDiv w:val="1"/>
      <w:marLeft w:val="0"/>
      <w:marRight w:val="0"/>
      <w:marTop w:val="0"/>
      <w:marBottom w:val="0"/>
      <w:divBdr>
        <w:top w:val="none" w:sz="0" w:space="0" w:color="auto"/>
        <w:left w:val="none" w:sz="0" w:space="0" w:color="auto"/>
        <w:bottom w:val="none" w:sz="0" w:space="0" w:color="auto"/>
        <w:right w:val="none" w:sz="0" w:space="0" w:color="auto"/>
      </w:divBdr>
      <w:divsChild>
        <w:div w:id="2141145726">
          <w:marLeft w:val="0"/>
          <w:marRight w:val="0"/>
          <w:marTop w:val="0"/>
          <w:marBottom w:val="0"/>
          <w:divBdr>
            <w:top w:val="none" w:sz="0" w:space="0" w:color="auto"/>
            <w:left w:val="none" w:sz="0" w:space="0" w:color="auto"/>
            <w:bottom w:val="none" w:sz="0" w:space="0" w:color="auto"/>
            <w:right w:val="none" w:sz="0" w:space="0" w:color="auto"/>
          </w:divBdr>
        </w:div>
        <w:div w:id="1819804874">
          <w:marLeft w:val="0"/>
          <w:marRight w:val="0"/>
          <w:marTop w:val="0"/>
          <w:marBottom w:val="0"/>
          <w:divBdr>
            <w:top w:val="none" w:sz="0" w:space="0" w:color="auto"/>
            <w:left w:val="none" w:sz="0" w:space="0" w:color="auto"/>
            <w:bottom w:val="none" w:sz="0" w:space="0" w:color="auto"/>
            <w:right w:val="none" w:sz="0" w:space="0" w:color="auto"/>
          </w:divBdr>
        </w:div>
        <w:div w:id="1065950194">
          <w:marLeft w:val="0"/>
          <w:marRight w:val="0"/>
          <w:marTop w:val="0"/>
          <w:marBottom w:val="0"/>
          <w:divBdr>
            <w:top w:val="none" w:sz="0" w:space="0" w:color="auto"/>
            <w:left w:val="none" w:sz="0" w:space="0" w:color="auto"/>
            <w:bottom w:val="none" w:sz="0" w:space="0" w:color="auto"/>
            <w:right w:val="none" w:sz="0" w:space="0" w:color="auto"/>
          </w:divBdr>
        </w:div>
        <w:div w:id="894900775">
          <w:marLeft w:val="0"/>
          <w:marRight w:val="0"/>
          <w:marTop w:val="0"/>
          <w:marBottom w:val="0"/>
          <w:divBdr>
            <w:top w:val="none" w:sz="0" w:space="0" w:color="auto"/>
            <w:left w:val="none" w:sz="0" w:space="0" w:color="auto"/>
            <w:bottom w:val="none" w:sz="0" w:space="0" w:color="auto"/>
            <w:right w:val="none" w:sz="0" w:space="0" w:color="auto"/>
          </w:divBdr>
        </w:div>
        <w:div w:id="1583488140">
          <w:marLeft w:val="0"/>
          <w:marRight w:val="0"/>
          <w:marTop w:val="0"/>
          <w:marBottom w:val="0"/>
          <w:divBdr>
            <w:top w:val="none" w:sz="0" w:space="0" w:color="auto"/>
            <w:left w:val="none" w:sz="0" w:space="0" w:color="auto"/>
            <w:bottom w:val="none" w:sz="0" w:space="0" w:color="auto"/>
            <w:right w:val="none" w:sz="0" w:space="0" w:color="auto"/>
          </w:divBdr>
        </w:div>
        <w:div w:id="1189295117">
          <w:marLeft w:val="0"/>
          <w:marRight w:val="0"/>
          <w:marTop w:val="0"/>
          <w:marBottom w:val="0"/>
          <w:divBdr>
            <w:top w:val="none" w:sz="0" w:space="0" w:color="auto"/>
            <w:left w:val="none" w:sz="0" w:space="0" w:color="auto"/>
            <w:bottom w:val="none" w:sz="0" w:space="0" w:color="auto"/>
            <w:right w:val="none" w:sz="0" w:space="0" w:color="auto"/>
          </w:divBdr>
        </w:div>
        <w:div w:id="1722827819">
          <w:marLeft w:val="0"/>
          <w:marRight w:val="0"/>
          <w:marTop w:val="0"/>
          <w:marBottom w:val="0"/>
          <w:divBdr>
            <w:top w:val="none" w:sz="0" w:space="0" w:color="auto"/>
            <w:left w:val="none" w:sz="0" w:space="0" w:color="auto"/>
            <w:bottom w:val="none" w:sz="0" w:space="0" w:color="auto"/>
            <w:right w:val="none" w:sz="0" w:space="0" w:color="auto"/>
          </w:divBdr>
        </w:div>
        <w:div w:id="972371329">
          <w:marLeft w:val="0"/>
          <w:marRight w:val="0"/>
          <w:marTop w:val="0"/>
          <w:marBottom w:val="0"/>
          <w:divBdr>
            <w:top w:val="none" w:sz="0" w:space="0" w:color="auto"/>
            <w:left w:val="none" w:sz="0" w:space="0" w:color="auto"/>
            <w:bottom w:val="none" w:sz="0" w:space="0" w:color="auto"/>
            <w:right w:val="none" w:sz="0" w:space="0" w:color="auto"/>
          </w:divBdr>
        </w:div>
        <w:div w:id="665522207">
          <w:marLeft w:val="0"/>
          <w:marRight w:val="0"/>
          <w:marTop w:val="0"/>
          <w:marBottom w:val="0"/>
          <w:divBdr>
            <w:top w:val="none" w:sz="0" w:space="0" w:color="auto"/>
            <w:left w:val="none" w:sz="0" w:space="0" w:color="auto"/>
            <w:bottom w:val="none" w:sz="0" w:space="0" w:color="auto"/>
            <w:right w:val="none" w:sz="0" w:space="0" w:color="auto"/>
          </w:divBdr>
        </w:div>
        <w:div w:id="1878273504">
          <w:marLeft w:val="0"/>
          <w:marRight w:val="0"/>
          <w:marTop w:val="0"/>
          <w:marBottom w:val="0"/>
          <w:divBdr>
            <w:top w:val="none" w:sz="0" w:space="0" w:color="auto"/>
            <w:left w:val="none" w:sz="0" w:space="0" w:color="auto"/>
            <w:bottom w:val="none" w:sz="0" w:space="0" w:color="auto"/>
            <w:right w:val="none" w:sz="0" w:space="0" w:color="auto"/>
          </w:divBdr>
        </w:div>
        <w:div w:id="1842818904">
          <w:marLeft w:val="0"/>
          <w:marRight w:val="0"/>
          <w:marTop w:val="0"/>
          <w:marBottom w:val="0"/>
          <w:divBdr>
            <w:top w:val="none" w:sz="0" w:space="0" w:color="auto"/>
            <w:left w:val="none" w:sz="0" w:space="0" w:color="auto"/>
            <w:bottom w:val="none" w:sz="0" w:space="0" w:color="auto"/>
            <w:right w:val="none" w:sz="0" w:space="0" w:color="auto"/>
          </w:divBdr>
        </w:div>
        <w:div w:id="1351953949">
          <w:marLeft w:val="0"/>
          <w:marRight w:val="0"/>
          <w:marTop w:val="0"/>
          <w:marBottom w:val="0"/>
          <w:divBdr>
            <w:top w:val="none" w:sz="0" w:space="0" w:color="auto"/>
            <w:left w:val="none" w:sz="0" w:space="0" w:color="auto"/>
            <w:bottom w:val="none" w:sz="0" w:space="0" w:color="auto"/>
            <w:right w:val="none" w:sz="0" w:space="0" w:color="auto"/>
          </w:divBdr>
        </w:div>
        <w:div w:id="649554429">
          <w:marLeft w:val="0"/>
          <w:marRight w:val="0"/>
          <w:marTop w:val="0"/>
          <w:marBottom w:val="0"/>
          <w:divBdr>
            <w:top w:val="none" w:sz="0" w:space="0" w:color="auto"/>
            <w:left w:val="none" w:sz="0" w:space="0" w:color="auto"/>
            <w:bottom w:val="none" w:sz="0" w:space="0" w:color="auto"/>
            <w:right w:val="none" w:sz="0" w:space="0" w:color="auto"/>
          </w:divBdr>
        </w:div>
        <w:div w:id="735515487">
          <w:marLeft w:val="0"/>
          <w:marRight w:val="0"/>
          <w:marTop w:val="0"/>
          <w:marBottom w:val="0"/>
          <w:divBdr>
            <w:top w:val="none" w:sz="0" w:space="0" w:color="auto"/>
            <w:left w:val="none" w:sz="0" w:space="0" w:color="auto"/>
            <w:bottom w:val="none" w:sz="0" w:space="0" w:color="auto"/>
            <w:right w:val="none" w:sz="0" w:space="0" w:color="auto"/>
          </w:divBdr>
        </w:div>
        <w:div w:id="672994041">
          <w:marLeft w:val="0"/>
          <w:marRight w:val="0"/>
          <w:marTop w:val="0"/>
          <w:marBottom w:val="0"/>
          <w:divBdr>
            <w:top w:val="none" w:sz="0" w:space="0" w:color="auto"/>
            <w:left w:val="none" w:sz="0" w:space="0" w:color="auto"/>
            <w:bottom w:val="none" w:sz="0" w:space="0" w:color="auto"/>
            <w:right w:val="none" w:sz="0" w:space="0" w:color="auto"/>
          </w:divBdr>
        </w:div>
        <w:div w:id="2039431669">
          <w:marLeft w:val="0"/>
          <w:marRight w:val="0"/>
          <w:marTop w:val="0"/>
          <w:marBottom w:val="0"/>
          <w:divBdr>
            <w:top w:val="none" w:sz="0" w:space="0" w:color="auto"/>
            <w:left w:val="none" w:sz="0" w:space="0" w:color="auto"/>
            <w:bottom w:val="none" w:sz="0" w:space="0" w:color="auto"/>
            <w:right w:val="none" w:sz="0" w:space="0" w:color="auto"/>
          </w:divBdr>
        </w:div>
        <w:div w:id="1668946039">
          <w:marLeft w:val="0"/>
          <w:marRight w:val="0"/>
          <w:marTop w:val="0"/>
          <w:marBottom w:val="0"/>
          <w:divBdr>
            <w:top w:val="none" w:sz="0" w:space="0" w:color="auto"/>
            <w:left w:val="none" w:sz="0" w:space="0" w:color="auto"/>
            <w:bottom w:val="none" w:sz="0" w:space="0" w:color="auto"/>
            <w:right w:val="none" w:sz="0" w:space="0" w:color="auto"/>
          </w:divBdr>
        </w:div>
        <w:div w:id="784737349">
          <w:marLeft w:val="0"/>
          <w:marRight w:val="0"/>
          <w:marTop w:val="0"/>
          <w:marBottom w:val="0"/>
          <w:divBdr>
            <w:top w:val="none" w:sz="0" w:space="0" w:color="auto"/>
            <w:left w:val="none" w:sz="0" w:space="0" w:color="auto"/>
            <w:bottom w:val="none" w:sz="0" w:space="0" w:color="auto"/>
            <w:right w:val="none" w:sz="0" w:space="0" w:color="auto"/>
          </w:divBdr>
        </w:div>
        <w:div w:id="1922521083">
          <w:marLeft w:val="0"/>
          <w:marRight w:val="0"/>
          <w:marTop w:val="0"/>
          <w:marBottom w:val="0"/>
          <w:divBdr>
            <w:top w:val="none" w:sz="0" w:space="0" w:color="auto"/>
            <w:left w:val="none" w:sz="0" w:space="0" w:color="auto"/>
            <w:bottom w:val="none" w:sz="0" w:space="0" w:color="auto"/>
            <w:right w:val="none" w:sz="0" w:space="0" w:color="auto"/>
          </w:divBdr>
        </w:div>
        <w:div w:id="1789279408">
          <w:marLeft w:val="0"/>
          <w:marRight w:val="0"/>
          <w:marTop w:val="0"/>
          <w:marBottom w:val="0"/>
          <w:divBdr>
            <w:top w:val="none" w:sz="0" w:space="0" w:color="auto"/>
            <w:left w:val="none" w:sz="0" w:space="0" w:color="auto"/>
            <w:bottom w:val="none" w:sz="0" w:space="0" w:color="auto"/>
            <w:right w:val="none" w:sz="0" w:space="0" w:color="auto"/>
          </w:divBdr>
        </w:div>
        <w:div w:id="964192696">
          <w:marLeft w:val="0"/>
          <w:marRight w:val="0"/>
          <w:marTop w:val="0"/>
          <w:marBottom w:val="0"/>
          <w:divBdr>
            <w:top w:val="none" w:sz="0" w:space="0" w:color="auto"/>
            <w:left w:val="none" w:sz="0" w:space="0" w:color="auto"/>
            <w:bottom w:val="none" w:sz="0" w:space="0" w:color="auto"/>
            <w:right w:val="none" w:sz="0" w:space="0" w:color="auto"/>
          </w:divBdr>
        </w:div>
        <w:div w:id="1506280729">
          <w:marLeft w:val="0"/>
          <w:marRight w:val="0"/>
          <w:marTop w:val="0"/>
          <w:marBottom w:val="0"/>
          <w:divBdr>
            <w:top w:val="none" w:sz="0" w:space="0" w:color="auto"/>
            <w:left w:val="none" w:sz="0" w:space="0" w:color="auto"/>
            <w:bottom w:val="none" w:sz="0" w:space="0" w:color="auto"/>
            <w:right w:val="none" w:sz="0" w:space="0" w:color="auto"/>
          </w:divBdr>
        </w:div>
        <w:div w:id="341247139">
          <w:marLeft w:val="0"/>
          <w:marRight w:val="0"/>
          <w:marTop w:val="0"/>
          <w:marBottom w:val="0"/>
          <w:divBdr>
            <w:top w:val="none" w:sz="0" w:space="0" w:color="auto"/>
            <w:left w:val="none" w:sz="0" w:space="0" w:color="auto"/>
            <w:bottom w:val="none" w:sz="0" w:space="0" w:color="auto"/>
            <w:right w:val="none" w:sz="0" w:space="0" w:color="auto"/>
          </w:divBdr>
        </w:div>
        <w:div w:id="1625766924">
          <w:marLeft w:val="0"/>
          <w:marRight w:val="0"/>
          <w:marTop w:val="0"/>
          <w:marBottom w:val="0"/>
          <w:divBdr>
            <w:top w:val="none" w:sz="0" w:space="0" w:color="auto"/>
            <w:left w:val="none" w:sz="0" w:space="0" w:color="auto"/>
            <w:bottom w:val="none" w:sz="0" w:space="0" w:color="auto"/>
            <w:right w:val="none" w:sz="0" w:space="0" w:color="auto"/>
          </w:divBdr>
        </w:div>
        <w:div w:id="947351915">
          <w:marLeft w:val="0"/>
          <w:marRight w:val="0"/>
          <w:marTop w:val="0"/>
          <w:marBottom w:val="0"/>
          <w:divBdr>
            <w:top w:val="none" w:sz="0" w:space="0" w:color="auto"/>
            <w:left w:val="none" w:sz="0" w:space="0" w:color="auto"/>
            <w:bottom w:val="none" w:sz="0" w:space="0" w:color="auto"/>
            <w:right w:val="none" w:sz="0" w:space="0" w:color="auto"/>
          </w:divBdr>
        </w:div>
        <w:div w:id="1190219395">
          <w:marLeft w:val="0"/>
          <w:marRight w:val="0"/>
          <w:marTop w:val="0"/>
          <w:marBottom w:val="0"/>
          <w:divBdr>
            <w:top w:val="none" w:sz="0" w:space="0" w:color="auto"/>
            <w:left w:val="none" w:sz="0" w:space="0" w:color="auto"/>
            <w:bottom w:val="none" w:sz="0" w:space="0" w:color="auto"/>
            <w:right w:val="none" w:sz="0" w:space="0" w:color="auto"/>
          </w:divBdr>
        </w:div>
        <w:div w:id="558519230">
          <w:marLeft w:val="0"/>
          <w:marRight w:val="0"/>
          <w:marTop w:val="0"/>
          <w:marBottom w:val="0"/>
          <w:divBdr>
            <w:top w:val="none" w:sz="0" w:space="0" w:color="auto"/>
            <w:left w:val="none" w:sz="0" w:space="0" w:color="auto"/>
            <w:bottom w:val="none" w:sz="0" w:space="0" w:color="auto"/>
            <w:right w:val="none" w:sz="0" w:space="0" w:color="auto"/>
          </w:divBdr>
        </w:div>
        <w:div w:id="1376807060">
          <w:marLeft w:val="0"/>
          <w:marRight w:val="0"/>
          <w:marTop w:val="0"/>
          <w:marBottom w:val="0"/>
          <w:divBdr>
            <w:top w:val="none" w:sz="0" w:space="0" w:color="auto"/>
            <w:left w:val="none" w:sz="0" w:space="0" w:color="auto"/>
            <w:bottom w:val="none" w:sz="0" w:space="0" w:color="auto"/>
            <w:right w:val="none" w:sz="0" w:space="0" w:color="auto"/>
          </w:divBdr>
        </w:div>
        <w:div w:id="712311997">
          <w:marLeft w:val="0"/>
          <w:marRight w:val="0"/>
          <w:marTop w:val="0"/>
          <w:marBottom w:val="0"/>
          <w:divBdr>
            <w:top w:val="none" w:sz="0" w:space="0" w:color="auto"/>
            <w:left w:val="none" w:sz="0" w:space="0" w:color="auto"/>
            <w:bottom w:val="none" w:sz="0" w:space="0" w:color="auto"/>
            <w:right w:val="none" w:sz="0" w:space="0" w:color="auto"/>
          </w:divBdr>
        </w:div>
        <w:div w:id="1254239553">
          <w:marLeft w:val="0"/>
          <w:marRight w:val="0"/>
          <w:marTop w:val="0"/>
          <w:marBottom w:val="0"/>
          <w:divBdr>
            <w:top w:val="none" w:sz="0" w:space="0" w:color="auto"/>
            <w:left w:val="none" w:sz="0" w:space="0" w:color="auto"/>
            <w:bottom w:val="none" w:sz="0" w:space="0" w:color="auto"/>
            <w:right w:val="none" w:sz="0" w:space="0" w:color="auto"/>
          </w:divBdr>
        </w:div>
        <w:div w:id="575094391">
          <w:marLeft w:val="0"/>
          <w:marRight w:val="0"/>
          <w:marTop w:val="0"/>
          <w:marBottom w:val="0"/>
          <w:divBdr>
            <w:top w:val="none" w:sz="0" w:space="0" w:color="auto"/>
            <w:left w:val="none" w:sz="0" w:space="0" w:color="auto"/>
            <w:bottom w:val="none" w:sz="0" w:space="0" w:color="auto"/>
            <w:right w:val="none" w:sz="0" w:space="0" w:color="auto"/>
          </w:divBdr>
        </w:div>
        <w:div w:id="1817602615">
          <w:marLeft w:val="0"/>
          <w:marRight w:val="0"/>
          <w:marTop w:val="0"/>
          <w:marBottom w:val="0"/>
          <w:divBdr>
            <w:top w:val="none" w:sz="0" w:space="0" w:color="auto"/>
            <w:left w:val="none" w:sz="0" w:space="0" w:color="auto"/>
            <w:bottom w:val="none" w:sz="0" w:space="0" w:color="auto"/>
            <w:right w:val="none" w:sz="0" w:space="0" w:color="auto"/>
          </w:divBdr>
        </w:div>
        <w:div w:id="1987859898">
          <w:marLeft w:val="0"/>
          <w:marRight w:val="0"/>
          <w:marTop w:val="0"/>
          <w:marBottom w:val="0"/>
          <w:divBdr>
            <w:top w:val="none" w:sz="0" w:space="0" w:color="auto"/>
            <w:left w:val="none" w:sz="0" w:space="0" w:color="auto"/>
            <w:bottom w:val="none" w:sz="0" w:space="0" w:color="auto"/>
            <w:right w:val="none" w:sz="0" w:space="0" w:color="auto"/>
          </w:divBdr>
        </w:div>
        <w:div w:id="1920091653">
          <w:marLeft w:val="0"/>
          <w:marRight w:val="0"/>
          <w:marTop w:val="0"/>
          <w:marBottom w:val="0"/>
          <w:divBdr>
            <w:top w:val="none" w:sz="0" w:space="0" w:color="auto"/>
            <w:left w:val="none" w:sz="0" w:space="0" w:color="auto"/>
            <w:bottom w:val="none" w:sz="0" w:space="0" w:color="auto"/>
            <w:right w:val="none" w:sz="0" w:space="0" w:color="auto"/>
          </w:divBdr>
        </w:div>
        <w:div w:id="1005400952">
          <w:marLeft w:val="0"/>
          <w:marRight w:val="0"/>
          <w:marTop w:val="0"/>
          <w:marBottom w:val="0"/>
          <w:divBdr>
            <w:top w:val="none" w:sz="0" w:space="0" w:color="auto"/>
            <w:left w:val="none" w:sz="0" w:space="0" w:color="auto"/>
            <w:bottom w:val="none" w:sz="0" w:space="0" w:color="auto"/>
            <w:right w:val="none" w:sz="0" w:space="0" w:color="auto"/>
          </w:divBdr>
        </w:div>
        <w:div w:id="276177026">
          <w:marLeft w:val="0"/>
          <w:marRight w:val="0"/>
          <w:marTop w:val="0"/>
          <w:marBottom w:val="0"/>
          <w:divBdr>
            <w:top w:val="none" w:sz="0" w:space="0" w:color="auto"/>
            <w:left w:val="none" w:sz="0" w:space="0" w:color="auto"/>
            <w:bottom w:val="none" w:sz="0" w:space="0" w:color="auto"/>
            <w:right w:val="none" w:sz="0" w:space="0" w:color="auto"/>
          </w:divBdr>
        </w:div>
        <w:div w:id="782267527">
          <w:marLeft w:val="0"/>
          <w:marRight w:val="0"/>
          <w:marTop w:val="0"/>
          <w:marBottom w:val="0"/>
          <w:divBdr>
            <w:top w:val="none" w:sz="0" w:space="0" w:color="auto"/>
            <w:left w:val="none" w:sz="0" w:space="0" w:color="auto"/>
            <w:bottom w:val="none" w:sz="0" w:space="0" w:color="auto"/>
            <w:right w:val="none" w:sz="0" w:space="0" w:color="auto"/>
          </w:divBdr>
        </w:div>
        <w:div w:id="2033653393">
          <w:marLeft w:val="0"/>
          <w:marRight w:val="0"/>
          <w:marTop w:val="0"/>
          <w:marBottom w:val="0"/>
          <w:divBdr>
            <w:top w:val="none" w:sz="0" w:space="0" w:color="auto"/>
            <w:left w:val="none" w:sz="0" w:space="0" w:color="auto"/>
            <w:bottom w:val="none" w:sz="0" w:space="0" w:color="auto"/>
            <w:right w:val="none" w:sz="0" w:space="0" w:color="auto"/>
          </w:divBdr>
        </w:div>
        <w:div w:id="1049914827">
          <w:marLeft w:val="0"/>
          <w:marRight w:val="0"/>
          <w:marTop w:val="0"/>
          <w:marBottom w:val="0"/>
          <w:divBdr>
            <w:top w:val="none" w:sz="0" w:space="0" w:color="auto"/>
            <w:left w:val="none" w:sz="0" w:space="0" w:color="auto"/>
            <w:bottom w:val="none" w:sz="0" w:space="0" w:color="auto"/>
            <w:right w:val="none" w:sz="0" w:space="0" w:color="auto"/>
          </w:divBdr>
        </w:div>
        <w:div w:id="860243108">
          <w:marLeft w:val="0"/>
          <w:marRight w:val="0"/>
          <w:marTop w:val="0"/>
          <w:marBottom w:val="0"/>
          <w:divBdr>
            <w:top w:val="none" w:sz="0" w:space="0" w:color="auto"/>
            <w:left w:val="none" w:sz="0" w:space="0" w:color="auto"/>
            <w:bottom w:val="none" w:sz="0" w:space="0" w:color="auto"/>
            <w:right w:val="none" w:sz="0" w:space="0" w:color="auto"/>
          </w:divBdr>
        </w:div>
        <w:div w:id="1415737255">
          <w:marLeft w:val="0"/>
          <w:marRight w:val="0"/>
          <w:marTop w:val="0"/>
          <w:marBottom w:val="0"/>
          <w:divBdr>
            <w:top w:val="none" w:sz="0" w:space="0" w:color="auto"/>
            <w:left w:val="none" w:sz="0" w:space="0" w:color="auto"/>
            <w:bottom w:val="none" w:sz="0" w:space="0" w:color="auto"/>
            <w:right w:val="none" w:sz="0" w:space="0" w:color="auto"/>
          </w:divBdr>
        </w:div>
        <w:div w:id="105541092">
          <w:marLeft w:val="0"/>
          <w:marRight w:val="0"/>
          <w:marTop w:val="0"/>
          <w:marBottom w:val="0"/>
          <w:divBdr>
            <w:top w:val="none" w:sz="0" w:space="0" w:color="auto"/>
            <w:left w:val="none" w:sz="0" w:space="0" w:color="auto"/>
            <w:bottom w:val="none" w:sz="0" w:space="0" w:color="auto"/>
            <w:right w:val="none" w:sz="0" w:space="0" w:color="auto"/>
          </w:divBdr>
        </w:div>
        <w:div w:id="2127773874">
          <w:marLeft w:val="0"/>
          <w:marRight w:val="0"/>
          <w:marTop w:val="0"/>
          <w:marBottom w:val="0"/>
          <w:divBdr>
            <w:top w:val="none" w:sz="0" w:space="0" w:color="auto"/>
            <w:left w:val="none" w:sz="0" w:space="0" w:color="auto"/>
            <w:bottom w:val="none" w:sz="0" w:space="0" w:color="auto"/>
            <w:right w:val="none" w:sz="0" w:space="0" w:color="auto"/>
          </w:divBdr>
        </w:div>
        <w:div w:id="2035376031">
          <w:marLeft w:val="0"/>
          <w:marRight w:val="0"/>
          <w:marTop w:val="0"/>
          <w:marBottom w:val="0"/>
          <w:divBdr>
            <w:top w:val="none" w:sz="0" w:space="0" w:color="auto"/>
            <w:left w:val="none" w:sz="0" w:space="0" w:color="auto"/>
            <w:bottom w:val="none" w:sz="0" w:space="0" w:color="auto"/>
            <w:right w:val="none" w:sz="0" w:space="0" w:color="auto"/>
          </w:divBdr>
        </w:div>
        <w:div w:id="2003073354">
          <w:marLeft w:val="0"/>
          <w:marRight w:val="0"/>
          <w:marTop w:val="0"/>
          <w:marBottom w:val="0"/>
          <w:divBdr>
            <w:top w:val="none" w:sz="0" w:space="0" w:color="auto"/>
            <w:left w:val="none" w:sz="0" w:space="0" w:color="auto"/>
            <w:bottom w:val="none" w:sz="0" w:space="0" w:color="auto"/>
            <w:right w:val="none" w:sz="0" w:space="0" w:color="auto"/>
          </w:divBdr>
        </w:div>
        <w:div w:id="743910991">
          <w:marLeft w:val="0"/>
          <w:marRight w:val="0"/>
          <w:marTop w:val="0"/>
          <w:marBottom w:val="0"/>
          <w:divBdr>
            <w:top w:val="none" w:sz="0" w:space="0" w:color="auto"/>
            <w:left w:val="none" w:sz="0" w:space="0" w:color="auto"/>
            <w:bottom w:val="none" w:sz="0" w:space="0" w:color="auto"/>
            <w:right w:val="none" w:sz="0" w:space="0" w:color="auto"/>
          </w:divBdr>
        </w:div>
        <w:div w:id="487597632">
          <w:marLeft w:val="0"/>
          <w:marRight w:val="0"/>
          <w:marTop w:val="0"/>
          <w:marBottom w:val="0"/>
          <w:divBdr>
            <w:top w:val="none" w:sz="0" w:space="0" w:color="auto"/>
            <w:left w:val="none" w:sz="0" w:space="0" w:color="auto"/>
            <w:bottom w:val="none" w:sz="0" w:space="0" w:color="auto"/>
            <w:right w:val="none" w:sz="0" w:space="0" w:color="auto"/>
          </w:divBdr>
        </w:div>
        <w:div w:id="187724887">
          <w:marLeft w:val="0"/>
          <w:marRight w:val="0"/>
          <w:marTop w:val="0"/>
          <w:marBottom w:val="0"/>
          <w:divBdr>
            <w:top w:val="none" w:sz="0" w:space="0" w:color="auto"/>
            <w:left w:val="none" w:sz="0" w:space="0" w:color="auto"/>
            <w:bottom w:val="none" w:sz="0" w:space="0" w:color="auto"/>
            <w:right w:val="none" w:sz="0" w:space="0" w:color="auto"/>
          </w:divBdr>
        </w:div>
        <w:div w:id="1734351286">
          <w:marLeft w:val="0"/>
          <w:marRight w:val="0"/>
          <w:marTop w:val="0"/>
          <w:marBottom w:val="0"/>
          <w:divBdr>
            <w:top w:val="none" w:sz="0" w:space="0" w:color="auto"/>
            <w:left w:val="none" w:sz="0" w:space="0" w:color="auto"/>
            <w:bottom w:val="none" w:sz="0" w:space="0" w:color="auto"/>
            <w:right w:val="none" w:sz="0" w:space="0" w:color="auto"/>
          </w:divBdr>
        </w:div>
        <w:div w:id="1542589972">
          <w:marLeft w:val="0"/>
          <w:marRight w:val="0"/>
          <w:marTop w:val="0"/>
          <w:marBottom w:val="0"/>
          <w:divBdr>
            <w:top w:val="none" w:sz="0" w:space="0" w:color="auto"/>
            <w:left w:val="none" w:sz="0" w:space="0" w:color="auto"/>
            <w:bottom w:val="none" w:sz="0" w:space="0" w:color="auto"/>
            <w:right w:val="none" w:sz="0" w:space="0" w:color="auto"/>
          </w:divBdr>
        </w:div>
        <w:div w:id="424232603">
          <w:marLeft w:val="0"/>
          <w:marRight w:val="0"/>
          <w:marTop w:val="0"/>
          <w:marBottom w:val="0"/>
          <w:divBdr>
            <w:top w:val="none" w:sz="0" w:space="0" w:color="auto"/>
            <w:left w:val="none" w:sz="0" w:space="0" w:color="auto"/>
            <w:bottom w:val="none" w:sz="0" w:space="0" w:color="auto"/>
            <w:right w:val="none" w:sz="0" w:space="0" w:color="auto"/>
          </w:divBdr>
        </w:div>
        <w:div w:id="966005350">
          <w:marLeft w:val="0"/>
          <w:marRight w:val="0"/>
          <w:marTop w:val="0"/>
          <w:marBottom w:val="0"/>
          <w:divBdr>
            <w:top w:val="none" w:sz="0" w:space="0" w:color="auto"/>
            <w:left w:val="none" w:sz="0" w:space="0" w:color="auto"/>
            <w:bottom w:val="none" w:sz="0" w:space="0" w:color="auto"/>
            <w:right w:val="none" w:sz="0" w:space="0" w:color="auto"/>
          </w:divBdr>
        </w:div>
        <w:div w:id="1656834949">
          <w:marLeft w:val="0"/>
          <w:marRight w:val="0"/>
          <w:marTop w:val="0"/>
          <w:marBottom w:val="0"/>
          <w:divBdr>
            <w:top w:val="none" w:sz="0" w:space="0" w:color="auto"/>
            <w:left w:val="none" w:sz="0" w:space="0" w:color="auto"/>
            <w:bottom w:val="none" w:sz="0" w:space="0" w:color="auto"/>
            <w:right w:val="none" w:sz="0" w:space="0" w:color="auto"/>
          </w:divBdr>
        </w:div>
        <w:div w:id="1422989982">
          <w:marLeft w:val="0"/>
          <w:marRight w:val="0"/>
          <w:marTop w:val="0"/>
          <w:marBottom w:val="0"/>
          <w:divBdr>
            <w:top w:val="none" w:sz="0" w:space="0" w:color="auto"/>
            <w:left w:val="none" w:sz="0" w:space="0" w:color="auto"/>
            <w:bottom w:val="none" w:sz="0" w:space="0" w:color="auto"/>
            <w:right w:val="none" w:sz="0" w:space="0" w:color="auto"/>
          </w:divBdr>
        </w:div>
        <w:div w:id="734356133">
          <w:marLeft w:val="0"/>
          <w:marRight w:val="0"/>
          <w:marTop w:val="0"/>
          <w:marBottom w:val="0"/>
          <w:divBdr>
            <w:top w:val="none" w:sz="0" w:space="0" w:color="auto"/>
            <w:left w:val="none" w:sz="0" w:space="0" w:color="auto"/>
            <w:bottom w:val="none" w:sz="0" w:space="0" w:color="auto"/>
            <w:right w:val="none" w:sz="0" w:space="0" w:color="auto"/>
          </w:divBdr>
        </w:div>
        <w:div w:id="166604050">
          <w:marLeft w:val="0"/>
          <w:marRight w:val="0"/>
          <w:marTop w:val="0"/>
          <w:marBottom w:val="0"/>
          <w:divBdr>
            <w:top w:val="none" w:sz="0" w:space="0" w:color="auto"/>
            <w:left w:val="none" w:sz="0" w:space="0" w:color="auto"/>
            <w:bottom w:val="none" w:sz="0" w:space="0" w:color="auto"/>
            <w:right w:val="none" w:sz="0" w:space="0" w:color="auto"/>
          </w:divBdr>
        </w:div>
        <w:div w:id="466819739">
          <w:marLeft w:val="0"/>
          <w:marRight w:val="0"/>
          <w:marTop w:val="0"/>
          <w:marBottom w:val="0"/>
          <w:divBdr>
            <w:top w:val="none" w:sz="0" w:space="0" w:color="auto"/>
            <w:left w:val="none" w:sz="0" w:space="0" w:color="auto"/>
            <w:bottom w:val="none" w:sz="0" w:space="0" w:color="auto"/>
            <w:right w:val="none" w:sz="0" w:space="0" w:color="auto"/>
          </w:divBdr>
        </w:div>
        <w:div w:id="891816047">
          <w:marLeft w:val="0"/>
          <w:marRight w:val="0"/>
          <w:marTop w:val="0"/>
          <w:marBottom w:val="0"/>
          <w:divBdr>
            <w:top w:val="none" w:sz="0" w:space="0" w:color="auto"/>
            <w:left w:val="none" w:sz="0" w:space="0" w:color="auto"/>
            <w:bottom w:val="none" w:sz="0" w:space="0" w:color="auto"/>
            <w:right w:val="none" w:sz="0" w:space="0" w:color="auto"/>
          </w:divBdr>
        </w:div>
        <w:div w:id="185026013">
          <w:marLeft w:val="0"/>
          <w:marRight w:val="0"/>
          <w:marTop w:val="0"/>
          <w:marBottom w:val="0"/>
          <w:divBdr>
            <w:top w:val="none" w:sz="0" w:space="0" w:color="auto"/>
            <w:left w:val="none" w:sz="0" w:space="0" w:color="auto"/>
            <w:bottom w:val="none" w:sz="0" w:space="0" w:color="auto"/>
            <w:right w:val="none" w:sz="0" w:space="0" w:color="auto"/>
          </w:divBdr>
        </w:div>
        <w:div w:id="1517034200">
          <w:marLeft w:val="0"/>
          <w:marRight w:val="0"/>
          <w:marTop w:val="0"/>
          <w:marBottom w:val="0"/>
          <w:divBdr>
            <w:top w:val="none" w:sz="0" w:space="0" w:color="auto"/>
            <w:left w:val="none" w:sz="0" w:space="0" w:color="auto"/>
            <w:bottom w:val="none" w:sz="0" w:space="0" w:color="auto"/>
            <w:right w:val="none" w:sz="0" w:space="0" w:color="auto"/>
          </w:divBdr>
        </w:div>
        <w:div w:id="1619987281">
          <w:marLeft w:val="0"/>
          <w:marRight w:val="0"/>
          <w:marTop w:val="0"/>
          <w:marBottom w:val="0"/>
          <w:divBdr>
            <w:top w:val="none" w:sz="0" w:space="0" w:color="auto"/>
            <w:left w:val="none" w:sz="0" w:space="0" w:color="auto"/>
            <w:bottom w:val="none" w:sz="0" w:space="0" w:color="auto"/>
            <w:right w:val="none" w:sz="0" w:space="0" w:color="auto"/>
          </w:divBdr>
        </w:div>
        <w:div w:id="1087262895">
          <w:marLeft w:val="0"/>
          <w:marRight w:val="0"/>
          <w:marTop w:val="0"/>
          <w:marBottom w:val="0"/>
          <w:divBdr>
            <w:top w:val="none" w:sz="0" w:space="0" w:color="auto"/>
            <w:left w:val="none" w:sz="0" w:space="0" w:color="auto"/>
            <w:bottom w:val="none" w:sz="0" w:space="0" w:color="auto"/>
            <w:right w:val="none" w:sz="0" w:space="0" w:color="auto"/>
          </w:divBdr>
        </w:div>
        <w:div w:id="1472091834">
          <w:marLeft w:val="0"/>
          <w:marRight w:val="0"/>
          <w:marTop w:val="0"/>
          <w:marBottom w:val="0"/>
          <w:divBdr>
            <w:top w:val="none" w:sz="0" w:space="0" w:color="auto"/>
            <w:left w:val="none" w:sz="0" w:space="0" w:color="auto"/>
            <w:bottom w:val="none" w:sz="0" w:space="0" w:color="auto"/>
            <w:right w:val="none" w:sz="0" w:space="0" w:color="auto"/>
          </w:divBdr>
        </w:div>
        <w:div w:id="1295133073">
          <w:marLeft w:val="0"/>
          <w:marRight w:val="0"/>
          <w:marTop w:val="0"/>
          <w:marBottom w:val="0"/>
          <w:divBdr>
            <w:top w:val="none" w:sz="0" w:space="0" w:color="auto"/>
            <w:left w:val="none" w:sz="0" w:space="0" w:color="auto"/>
            <w:bottom w:val="none" w:sz="0" w:space="0" w:color="auto"/>
            <w:right w:val="none" w:sz="0" w:space="0" w:color="auto"/>
          </w:divBdr>
        </w:div>
        <w:div w:id="901526032">
          <w:marLeft w:val="0"/>
          <w:marRight w:val="0"/>
          <w:marTop w:val="0"/>
          <w:marBottom w:val="0"/>
          <w:divBdr>
            <w:top w:val="none" w:sz="0" w:space="0" w:color="auto"/>
            <w:left w:val="none" w:sz="0" w:space="0" w:color="auto"/>
            <w:bottom w:val="none" w:sz="0" w:space="0" w:color="auto"/>
            <w:right w:val="none" w:sz="0" w:space="0" w:color="auto"/>
          </w:divBdr>
        </w:div>
        <w:div w:id="354309456">
          <w:marLeft w:val="0"/>
          <w:marRight w:val="0"/>
          <w:marTop w:val="0"/>
          <w:marBottom w:val="0"/>
          <w:divBdr>
            <w:top w:val="none" w:sz="0" w:space="0" w:color="auto"/>
            <w:left w:val="none" w:sz="0" w:space="0" w:color="auto"/>
            <w:bottom w:val="none" w:sz="0" w:space="0" w:color="auto"/>
            <w:right w:val="none" w:sz="0" w:space="0" w:color="auto"/>
          </w:divBdr>
        </w:div>
        <w:div w:id="1818064035">
          <w:marLeft w:val="0"/>
          <w:marRight w:val="0"/>
          <w:marTop w:val="0"/>
          <w:marBottom w:val="0"/>
          <w:divBdr>
            <w:top w:val="none" w:sz="0" w:space="0" w:color="auto"/>
            <w:left w:val="none" w:sz="0" w:space="0" w:color="auto"/>
            <w:bottom w:val="none" w:sz="0" w:space="0" w:color="auto"/>
            <w:right w:val="none" w:sz="0" w:space="0" w:color="auto"/>
          </w:divBdr>
        </w:div>
        <w:div w:id="1113282490">
          <w:marLeft w:val="0"/>
          <w:marRight w:val="0"/>
          <w:marTop w:val="0"/>
          <w:marBottom w:val="0"/>
          <w:divBdr>
            <w:top w:val="none" w:sz="0" w:space="0" w:color="auto"/>
            <w:left w:val="none" w:sz="0" w:space="0" w:color="auto"/>
            <w:bottom w:val="none" w:sz="0" w:space="0" w:color="auto"/>
            <w:right w:val="none" w:sz="0" w:space="0" w:color="auto"/>
          </w:divBdr>
        </w:div>
        <w:div w:id="161432818">
          <w:marLeft w:val="0"/>
          <w:marRight w:val="0"/>
          <w:marTop w:val="0"/>
          <w:marBottom w:val="0"/>
          <w:divBdr>
            <w:top w:val="none" w:sz="0" w:space="0" w:color="auto"/>
            <w:left w:val="none" w:sz="0" w:space="0" w:color="auto"/>
            <w:bottom w:val="none" w:sz="0" w:space="0" w:color="auto"/>
            <w:right w:val="none" w:sz="0" w:space="0" w:color="auto"/>
          </w:divBdr>
        </w:div>
        <w:div w:id="462768164">
          <w:marLeft w:val="0"/>
          <w:marRight w:val="0"/>
          <w:marTop w:val="0"/>
          <w:marBottom w:val="0"/>
          <w:divBdr>
            <w:top w:val="none" w:sz="0" w:space="0" w:color="auto"/>
            <w:left w:val="none" w:sz="0" w:space="0" w:color="auto"/>
            <w:bottom w:val="none" w:sz="0" w:space="0" w:color="auto"/>
            <w:right w:val="none" w:sz="0" w:space="0" w:color="auto"/>
          </w:divBdr>
        </w:div>
        <w:div w:id="991173487">
          <w:marLeft w:val="0"/>
          <w:marRight w:val="0"/>
          <w:marTop w:val="0"/>
          <w:marBottom w:val="0"/>
          <w:divBdr>
            <w:top w:val="none" w:sz="0" w:space="0" w:color="auto"/>
            <w:left w:val="none" w:sz="0" w:space="0" w:color="auto"/>
            <w:bottom w:val="none" w:sz="0" w:space="0" w:color="auto"/>
            <w:right w:val="none" w:sz="0" w:space="0" w:color="auto"/>
          </w:divBdr>
        </w:div>
        <w:div w:id="2110158611">
          <w:marLeft w:val="0"/>
          <w:marRight w:val="0"/>
          <w:marTop w:val="0"/>
          <w:marBottom w:val="0"/>
          <w:divBdr>
            <w:top w:val="none" w:sz="0" w:space="0" w:color="auto"/>
            <w:left w:val="none" w:sz="0" w:space="0" w:color="auto"/>
            <w:bottom w:val="none" w:sz="0" w:space="0" w:color="auto"/>
            <w:right w:val="none" w:sz="0" w:space="0" w:color="auto"/>
          </w:divBdr>
        </w:div>
        <w:div w:id="1147938276">
          <w:marLeft w:val="0"/>
          <w:marRight w:val="0"/>
          <w:marTop w:val="0"/>
          <w:marBottom w:val="0"/>
          <w:divBdr>
            <w:top w:val="none" w:sz="0" w:space="0" w:color="auto"/>
            <w:left w:val="none" w:sz="0" w:space="0" w:color="auto"/>
            <w:bottom w:val="none" w:sz="0" w:space="0" w:color="auto"/>
            <w:right w:val="none" w:sz="0" w:space="0" w:color="auto"/>
          </w:divBdr>
        </w:div>
        <w:div w:id="766923632">
          <w:marLeft w:val="0"/>
          <w:marRight w:val="0"/>
          <w:marTop w:val="0"/>
          <w:marBottom w:val="0"/>
          <w:divBdr>
            <w:top w:val="none" w:sz="0" w:space="0" w:color="auto"/>
            <w:left w:val="none" w:sz="0" w:space="0" w:color="auto"/>
            <w:bottom w:val="none" w:sz="0" w:space="0" w:color="auto"/>
            <w:right w:val="none" w:sz="0" w:space="0" w:color="auto"/>
          </w:divBdr>
        </w:div>
        <w:div w:id="509638581">
          <w:marLeft w:val="0"/>
          <w:marRight w:val="0"/>
          <w:marTop w:val="0"/>
          <w:marBottom w:val="0"/>
          <w:divBdr>
            <w:top w:val="none" w:sz="0" w:space="0" w:color="auto"/>
            <w:left w:val="none" w:sz="0" w:space="0" w:color="auto"/>
            <w:bottom w:val="none" w:sz="0" w:space="0" w:color="auto"/>
            <w:right w:val="none" w:sz="0" w:space="0" w:color="auto"/>
          </w:divBdr>
        </w:div>
        <w:div w:id="1988894620">
          <w:marLeft w:val="0"/>
          <w:marRight w:val="0"/>
          <w:marTop w:val="0"/>
          <w:marBottom w:val="0"/>
          <w:divBdr>
            <w:top w:val="none" w:sz="0" w:space="0" w:color="auto"/>
            <w:left w:val="none" w:sz="0" w:space="0" w:color="auto"/>
            <w:bottom w:val="none" w:sz="0" w:space="0" w:color="auto"/>
            <w:right w:val="none" w:sz="0" w:space="0" w:color="auto"/>
          </w:divBdr>
        </w:div>
        <w:div w:id="623268637">
          <w:marLeft w:val="0"/>
          <w:marRight w:val="0"/>
          <w:marTop w:val="0"/>
          <w:marBottom w:val="0"/>
          <w:divBdr>
            <w:top w:val="none" w:sz="0" w:space="0" w:color="auto"/>
            <w:left w:val="none" w:sz="0" w:space="0" w:color="auto"/>
            <w:bottom w:val="none" w:sz="0" w:space="0" w:color="auto"/>
            <w:right w:val="none" w:sz="0" w:space="0" w:color="auto"/>
          </w:divBdr>
        </w:div>
        <w:div w:id="283735203">
          <w:marLeft w:val="0"/>
          <w:marRight w:val="0"/>
          <w:marTop w:val="0"/>
          <w:marBottom w:val="0"/>
          <w:divBdr>
            <w:top w:val="none" w:sz="0" w:space="0" w:color="auto"/>
            <w:left w:val="none" w:sz="0" w:space="0" w:color="auto"/>
            <w:bottom w:val="none" w:sz="0" w:space="0" w:color="auto"/>
            <w:right w:val="none" w:sz="0" w:space="0" w:color="auto"/>
          </w:divBdr>
        </w:div>
        <w:div w:id="910698193">
          <w:marLeft w:val="0"/>
          <w:marRight w:val="0"/>
          <w:marTop w:val="0"/>
          <w:marBottom w:val="0"/>
          <w:divBdr>
            <w:top w:val="none" w:sz="0" w:space="0" w:color="auto"/>
            <w:left w:val="none" w:sz="0" w:space="0" w:color="auto"/>
            <w:bottom w:val="none" w:sz="0" w:space="0" w:color="auto"/>
            <w:right w:val="none" w:sz="0" w:space="0" w:color="auto"/>
          </w:divBdr>
        </w:div>
        <w:div w:id="1027414919">
          <w:marLeft w:val="0"/>
          <w:marRight w:val="0"/>
          <w:marTop w:val="0"/>
          <w:marBottom w:val="0"/>
          <w:divBdr>
            <w:top w:val="none" w:sz="0" w:space="0" w:color="auto"/>
            <w:left w:val="none" w:sz="0" w:space="0" w:color="auto"/>
            <w:bottom w:val="none" w:sz="0" w:space="0" w:color="auto"/>
            <w:right w:val="none" w:sz="0" w:space="0" w:color="auto"/>
          </w:divBdr>
        </w:div>
        <w:div w:id="350646556">
          <w:marLeft w:val="0"/>
          <w:marRight w:val="0"/>
          <w:marTop w:val="0"/>
          <w:marBottom w:val="0"/>
          <w:divBdr>
            <w:top w:val="none" w:sz="0" w:space="0" w:color="auto"/>
            <w:left w:val="none" w:sz="0" w:space="0" w:color="auto"/>
            <w:bottom w:val="none" w:sz="0" w:space="0" w:color="auto"/>
            <w:right w:val="none" w:sz="0" w:space="0" w:color="auto"/>
          </w:divBdr>
        </w:div>
        <w:div w:id="2010407948">
          <w:marLeft w:val="0"/>
          <w:marRight w:val="0"/>
          <w:marTop w:val="0"/>
          <w:marBottom w:val="0"/>
          <w:divBdr>
            <w:top w:val="none" w:sz="0" w:space="0" w:color="auto"/>
            <w:left w:val="none" w:sz="0" w:space="0" w:color="auto"/>
            <w:bottom w:val="none" w:sz="0" w:space="0" w:color="auto"/>
            <w:right w:val="none" w:sz="0" w:space="0" w:color="auto"/>
          </w:divBdr>
        </w:div>
        <w:div w:id="1084566600">
          <w:marLeft w:val="0"/>
          <w:marRight w:val="0"/>
          <w:marTop w:val="0"/>
          <w:marBottom w:val="0"/>
          <w:divBdr>
            <w:top w:val="none" w:sz="0" w:space="0" w:color="auto"/>
            <w:left w:val="none" w:sz="0" w:space="0" w:color="auto"/>
            <w:bottom w:val="none" w:sz="0" w:space="0" w:color="auto"/>
            <w:right w:val="none" w:sz="0" w:space="0" w:color="auto"/>
          </w:divBdr>
        </w:div>
        <w:div w:id="1779712239">
          <w:marLeft w:val="0"/>
          <w:marRight w:val="0"/>
          <w:marTop w:val="0"/>
          <w:marBottom w:val="0"/>
          <w:divBdr>
            <w:top w:val="none" w:sz="0" w:space="0" w:color="auto"/>
            <w:left w:val="none" w:sz="0" w:space="0" w:color="auto"/>
            <w:bottom w:val="none" w:sz="0" w:space="0" w:color="auto"/>
            <w:right w:val="none" w:sz="0" w:space="0" w:color="auto"/>
          </w:divBdr>
        </w:div>
        <w:div w:id="1044987600">
          <w:marLeft w:val="0"/>
          <w:marRight w:val="0"/>
          <w:marTop w:val="0"/>
          <w:marBottom w:val="0"/>
          <w:divBdr>
            <w:top w:val="none" w:sz="0" w:space="0" w:color="auto"/>
            <w:left w:val="none" w:sz="0" w:space="0" w:color="auto"/>
            <w:bottom w:val="none" w:sz="0" w:space="0" w:color="auto"/>
            <w:right w:val="none" w:sz="0" w:space="0" w:color="auto"/>
          </w:divBdr>
        </w:div>
        <w:div w:id="1260524061">
          <w:marLeft w:val="0"/>
          <w:marRight w:val="0"/>
          <w:marTop w:val="0"/>
          <w:marBottom w:val="0"/>
          <w:divBdr>
            <w:top w:val="none" w:sz="0" w:space="0" w:color="auto"/>
            <w:left w:val="none" w:sz="0" w:space="0" w:color="auto"/>
            <w:bottom w:val="none" w:sz="0" w:space="0" w:color="auto"/>
            <w:right w:val="none" w:sz="0" w:space="0" w:color="auto"/>
          </w:divBdr>
        </w:div>
        <w:div w:id="16390592">
          <w:marLeft w:val="0"/>
          <w:marRight w:val="0"/>
          <w:marTop w:val="0"/>
          <w:marBottom w:val="0"/>
          <w:divBdr>
            <w:top w:val="none" w:sz="0" w:space="0" w:color="auto"/>
            <w:left w:val="none" w:sz="0" w:space="0" w:color="auto"/>
            <w:bottom w:val="none" w:sz="0" w:space="0" w:color="auto"/>
            <w:right w:val="none" w:sz="0" w:space="0" w:color="auto"/>
          </w:divBdr>
        </w:div>
        <w:div w:id="1715346937">
          <w:marLeft w:val="0"/>
          <w:marRight w:val="0"/>
          <w:marTop w:val="0"/>
          <w:marBottom w:val="0"/>
          <w:divBdr>
            <w:top w:val="none" w:sz="0" w:space="0" w:color="auto"/>
            <w:left w:val="none" w:sz="0" w:space="0" w:color="auto"/>
            <w:bottom w:val="none" w:sz="0" w:space="0" w:color="auto"/>
            <w:right w:val="none" w:sz="0" w:space="0" w:color="auto"/>
          </w:divBdr>
        </w:div>
      </w:divsChild>
    </w:div>
    <w:div w:id="1763793675">
      <w:bodyDiv w:val="1"/>
      <w:marLeft w:val="0"/>
      <w:marRight w:val="0"/>
      <w:marTop w:val="0"/>
      <w:marBottom w:val="0"/>
      <w:divBdr>
        <w:top w:val="none" w:sz="0" w:space="0" w:color="auto"/>
        <w:left w:val="none" w:sz="0" w:space="0" w:color="auto"/>
        <w:bottom w:val="none" w:sz="0" w:space="0" w:color="auto"/>
        <w:right w:val="none" w:sz="0" w:space="0" w:color="auto"/>
      </w:divBdr>
      <w:divsChild>
        <w:div w:id="935552843">
          <w:marLeft w:val="0"/>
          <w:marRight w:val="0"/>
          <w:marTop w:val="0"/>
          <w:marBottom w:val="0"/>
          <w:divBdr>
            <w:top w:val="none" w:sz="0" w:space="0" w:color="auto"/>
            <w:left w:val="none" w:sz="0" w:space="0" w:color="auto"/>
            <w:bottom w:val="none" w:sz="0" w:space="0" w:color="auto"/>
            <w:right w:val="none" w:sz="0" w:space="0" w:color="auto"/>
          </w:divBdr>
        </w:div>
        <w:div w:id="1198197777">
          <w:marLeft w:val="0"/>
          <w:marRight w:val="0"/>
          <w:marTop w:val="0"/>
          <w:marBottom w:val="0"/>
          <w:divBdr>
            <w:top w:val="none" w:sz="0" w:space="0" w:color="auto"/>
            <w:left w:val="none" w:sz="0" w:space="0" w:color="auto"/>
            <w:bottom w:val="none" w:sz="0" w:space="0" w:color="auto"/>
            <w:right w:val="none" w:sz="0" w:space="0" w:color="auto"/>
          </w:divBdr>
        </w:div>
        <w:div w:id="1639526820">
          <w:marLeft w:val="0"/>
          <w:marRight w:val="0"/>
          <w:marTop w:val="0"/>
          <w:marBottom w:val="0"/>
          <w:divBdr>
            <w:top w:val="none" w:sz="0" w:space="0" w:color="auto"/>
            <w:left w:val="none" w:sz="0" w:space="0" w:color="auto"/>
            <w:bottom w:val="none" w:sz="0" w:space="0" w:color="auto"/>
            <w:right w:val="none" w:sz="0" w:space="0" w:color="auto"/>
          </w:divBdr>
        </w:div>
      </w:divsChild>
    </w:div>
    <w:div w:id="2107581339">
      <w:bodyDiv w:val="1"/>
      <w:marLeft w:val="0"/>
      <w:marRight w:val="0"/>
      <w:marTop w:val="0"/>
      <w:marBottom w:val="0"/>
      <w:divBdr>
        <w:top w:val="none" w:sz="0" w:space="0" w:color="auto"/>
        <w:left w:val="none" w:sz="0" w:space="0" w:color="auto"/>
        <w:bottom w:val="none" w:sz="0" w:space="0" w:color="auto"/>
        <w:right w:val="none" w:sz="0" w:space="0" w:color="auto"/>
      </w:divBdr>
      <w:divsChild>
        <w:div w:id="327052791">
          <w:marLeft w:val="0"/>
          <w:marRight w:val="0"/>
          <w:marTop w:val="0"/>
          <w:marBottom w:val="0"/>
          <w:divBdr>
            <w:top w:val="none" w:sz="0" w:space="0" w:color="auto"/>
            <w:left w:val="none" w:sz="0" w:space="0" w:color="auto"/>
            <w:bottom w:val="none" w:sz="0" w:space="0" w:color="auto"/>
            <w:right w:val="none" w:sz="0" w:space="0" w:color="auto"/>
          </w:divBdr>
        </w:div>
        <w:div w:id="1393230591">
          <w:marLeft w:val="0"/>
          <w:marRight w:val="0"/>
          <w:marTop w:val="0"/>
          <w:marBottom w:val="0"/>
          <w:divBdr>
            <w:top w:val="none" w:sz="0" w:space="0" w:color="auto"/>
            <w:left w:val="none" w:sz="0" w:space="0" w:color="auto"/>
            <w:bottom w:val="none" w:sz="0" w:space="0" w:color="auto"/>
            <w:right w:val="none" w:sz="0" w:space="0" w:color="auto"/>
          </w:divBdr>
        </w:div>
        <w:div w:id="1896045375">
          <w:marLeft w:val="0"/>
          <w:marRight w:val="0"/>
          <w:marTop w:val="0"/>
          <w:marBottom w:val="0"/>
          <w:divBdr>
            <w:top w:val="none" w:sz="0" w:space="0" w:color="auto"/>
            <w:left w:val="none" w:sz="0" w:space="0" w:color="auto"/>
            <w:bottom w:val="none" w:sz="0" w:space="0" w:color="auto"/>
            <w:right w:val="none" w:sz="0" w:space="0" w:color="auto"/>
          </w:divBdr>
        </w:div>
        <w:div w:id="886792941">
          <w:marLeft w:val="0"/>
          <w:marRight w:val="0"/>
          <w:marTop w:val="0"/>
          <w:marBottom w:val="0"/>
          <w:divBdr>
            <w:top w:val="none" w:sz="0" w:space="0" w:color="auto"/>
            <w:left w:val="none" w:sz="0" w:space="0" w:color="auto"/>
            <w:bottom w:val="none" w:sz="0" w:space="0" w:color="auto"/>
            <w:right w:val="none" w:sz="0" w:space="0" w:color="auto"/>
          </w:divBdr>
        </w:div>
        <w:div w:id="11581536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53160-5B66-49F0-AC10-8F94014AB1D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8</Pages>
  <Words>2065</Words>
  <Characters>11363</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David F. Cabrera Castillo</cp:lastModifiedBy>
  <cp:revision>5</cp:revision>
  <dcterms:created xsi:type="dcterms:W3CDTF">2021-06-24T14:42:00Z</dcterms:created>
  <dcterms:modified xsi:type="dcterms:W3CDTF">2021-09-05T19:28:00Z</dcterms:modified>
</cp:coreProperties>
</file>