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A5" w:rsidRPr="002719DF" w:rsidRDefault="00E94D44" w:rsidP="00E94D44">
      <w:pPr>
        <w:jc w:val="both"/>
        <w:rPr>
          <w:rFonts w:ascii="Tahoma" w:hAnsi="Tahoma" w:cs="Tahoma"/>
        </w:rPr>
      </w:pPr>
      <w:r w:rsidRPr="002719DF">
        <w:rPr>
          <w:rFonts w:ascii="Tahoma" w:hAnsi="Tahoma" w:cs="Tahoma"/>
        </w:rPr>
        <w:t xml:space="preserve">En mi criterio fue acertado unificar el procedimiento contencioso administrativo y las disposiciones procedimentales civiles en cuanto a la decisión de las excepciones previas, que no requieren practica de pruebas, antes de la celebración de la audiencia inicial, debemos recibir con beneplácito las medidas que agilizan </w:t>
      </w:r>
      <w:r w:rsidR="00341FA5" w:rsidRPr="002719DF">
        <w:rPr>
          <w:rFonts w:ascii="Tahoma" w:hAnsi="Tahoma" w:cs="Tahoma"/>
        </w:rPr>
        <w:t>los pronunciamientos judiciales; de igual manera la reforma permite en el traslado de las excepciones subsanar irregularidades advertidas, medida que permite sanear la actuación, privilegiando que en el proceso se adopte una decisión de fondo</w:t>
      </w:r>
      <w:r w:rsidR="008B144B" w:rsidRPr="002719DF">
        <w:rPr>
          <w:rFonts w:ascii="Tahoma" w:hAnsi="Tahoma" w:cs="Tahoma"/>
        </w:rPr>
        <w:t>.</w:t>
      </w:r>
    </w:p>
    <w:p w:rsidR="008B144B" w:rsidRPr="002719DF" w:rsidRDefault="008B144B" w:rsidP="00E94D44">
      <w:pPr>
        <w:jc w:val="both"/>
        <w:rPr>
          <w:rFonts w:ascii="Tahoma" w:hAnsi="Tahoma" w:cs="Tahoma"/>
        </w:rPr>
      </w:pPr>
    </w:p>
    <w:p w:rsidR="008B144B" w:rsidRPr="002719DF" w:rsidRDefault="008B144B" w:rsidP="00E94D44">
      <w:pPr>
        <w:jc w:val="both"/>
        <w:rPr>
          <w:rFonts w:ascii="Tahoma" w:hAnsi="Tahoma" w:cs="Tahoma"/>
        </w:rPr>
      </w:pPr>
      <w:r w:rsidRPr="002719DF">
        <w:rPr>
          <w:rFonts w:ascii="Tahoma" w:hAnsi="Tahoma" w:cs="Tahoma"/>
        </w:rPr>
        <w:t>Comparto la observación de que la intención de la reforma fue brindar agilidad a la actuación judicial, estipulándose la sentencia anticipada como una herramienta que en asuntos de puro derecho o que no requieran la práctica de pruebas, permite a los operadores judiciales proferir una pronta sentencia; si bien se privilegia la escrituralidad, esto se justifica en procura de salvaguardar los principios de economía procesal y celerid</w:t>
      </w:r>
      <w:bookmarkStart w:id="0" w:name="_GoBack"/>
      <w:bookmarkEnd w:id="0"/>
      <w:r w:rsidRPr="002719DF">
        <w:rPr>
          <w:rFonts w:ascii="Tahoma" w:hAnsi="Tahoma" w:cs="Tahoma"/>
        </w:rPr>
        <w:t xml:space="preserve">ad. </w:t>
      </w:r>
    </w:p>
    <w:p w:rsidR="00E94D44" w:rsidRDefault="00E94D44" w:rsidP="00E94D44">
      <w:pPr>
        <w:jc w:val="both"/>
      </w:pPr>
    </w:p>
    <w:p w:rsidR="00AA7BE6" w:rsidRDefault="00E94D44" w:rsidP="00E94D44">
      <w:pPr>
        <w:jc w:val="both"/>
      </w:pPr>
      <w:r>
        <w:t xml:space="preserve"> </w:t>
      </w:r>
    </w:p>
    <w:sectPr w:rsidR="00AA7B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63"/>
    <w:rsid w:val="002719DF"/>
    <w:rsid w:val="00341FA5"/>
    <w:rsid w:val="00827B63"/>
    <w:rsid w:val="008B144B"/>
    <w:rsid w:val="00AA7BE6"/>
    <w:rsid w:val="00E94D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385AB-BF8D-4FDF-B96C-8D7C23E3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155</Words>
  <Characters>854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C540i3</dc:creator>
  <cp:keywords/>
  <dc:description/>
  <cp:lastModifiedBy>Lenovo C540i3</cp:lastModifiedBy>
  <cp:revision>3</cp:revision>
  <dcterms:created xsi:type="dcterms:W3CDTF">2021-09-05T17:01:00Z</dcterms:created>
  <dcterms:modified xsi:type="dcterms:W3CDTF">2021-09-05T18:11:00Z</dcterms:modified>
</cp:coreProperties>
</file>