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B8550D7"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21B69">
        <w:rPr>
          <w:rFonts w:ascii="Arial" w:eastAsia="Calibri" w:hAnsi="Arial" w:cs="Arial"/>
          <w:lang w:val="es-MX"/>
        </w:rPr>
        <w:t xml:space="preserve"> </w:t>
      </w:r>
      <w:r w:rsidR="003F5949">
        <w:rPr>
          <w:rFonts w:ascii="Arial" w:eastAsia="Calibri" w:hAnsi="Arial" w:cs="Arial"/>
          <w:lang w:val="es-MX"/>
        </w:rPr>
        <w:t>Bertolt Rivera</w:t>
      </w:r>
    </w:p>
    <w:p w14:paraId="5F7DBDD4" w14:textId="5D9E0C43"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3F5949">
        <w:rPr>
          <w:rFonts w:ascii="Arial" w:hAnsi="Arial" w:cs="Arial"/>
          <w:lang w:val="es-MX"/>
        </w:rPr>
        <w:t>5 de septiembre de 2021</w:t>
      </w:r>
    </w:p>
    <w:p w14:paraId="75E84AC6" w14:textId="11456300"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21B69">
        <w:rPr>
          <w:rFonts w:ascii="Arial" w:hAnsi="Arial" w:cs="Arial"/>
          <w:lang w:val="es-MX"/>
        </w:rPr>
        <w:t>Nulidad y restablecimiento del derecho.</w:t>
      </w:r>
    </w:p>
    <w:p w14:paraId="6B89892F" w14:textId="583563C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F5949">
        <w:rPr>
          <w:rFonts w:ascii="Arial" w:hAnsi="Arial" w:cs="Arial"/>
          <w:lang w:val="es-MX"/>
        </w:rPr>
        <w:t xml:space="preserve"> María Pérez</w:t>
      </w:r>
    </w:p>
    <w:p w14:paraId="1660C8A3" w14:textId="289C3C2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F5949">
        <w:rPr>
          <w:rFonts w:ascii="Arial" w:hAnsi="Arial" w:cs="Arial"/>
          <w:lang w:val="es-MX"/>
        </w:rPr>
        <w:t xml:space="preserve"> La Nación – Rama Judicial- Dirección </w:t>
      </w:r>
      <w:r w:rsidR="00E8190E">
        <w:rPr>
          <w:rFonts w:ascii="Arial" w:hAnsi="Arial" w:cs="Arial"/>
          <w:lang w:val="es-MX"/>
        </w:rPr>
        <w:t>Ejecutiva</w:t>
      </w:r>
      <w:r w:rsidR="003F5949">
        <w:rPr>
          <w:rFonts w:ascii="Arial" w:hAnsi="Arial" w:cs="Arial"/>
          <w:lang w:val="es-MX"/>
        </w:rPr>
        <w:t xml:space="preserve"> de Administración Judicial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C9AA6C"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r w:rsidR="00AA37BB">
              <w:rPr>
                <w:rFonts w:ascii="Arial" w:eastAsia="Calibri" w:hAnsi="Arial" w:cs="Arial"/>
                <w:lang w:val="es-MX"/>
              </w:rPr>
              <w:t xml:space="preserve"> </w:t>
            </w:r>
            <w:r w:rsidR="003F5949">
              <w:rPr>
                <w:rFonts w:ascii="Arial" w:eastAsia="Calibri" w:hAnsi="Arial" w:cs="Arial"/>
                <w:lang w:val="es-MX"/>
              </w:rPr>
              <w:t>SE ENCUENTRAN VERIFICADAS Y SATIFECHAS.</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8E6F87A">
                      <wp:simplePos x="0" y="0"/>
                      <wp:positionH relativeFrom="column">
                        <wp:posOffset>3493076</wp:posOffset>
                      </wp:positionH>
                      <wp:positionV relativeFrom="paragraph">
                        <wp:posOffset>22638</wp:posOffset>
                      </wp:positionV>
                      <wp:extent cx="414670" cy="307931"/>
                      <wp:effectExtent l="0" t="0" r="17145" b="10160"/>
                      <wp:wrapNone/>
                      <wp:docPr id="5" name="Rectángulo 5"/>
                      <wp:cNvGraphicFramePr/>
                      <a:graphic xmlns:a="http://schemas.openxmlformats.org/drawingml/2006/main">
                        <a:graphicData uri="http://schemas.microsoft.com/office/word/2010/wordprocessingShape">
                          <wps:wsp>
                            <wps:cNvSpPr/>
                            <wps:spPr>
                              <a:xfrm>
                                <a:off x="0" y="0"/>
                                <a:ext cx="414670" cy="3079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03909F" w14:textId="13554DDF" w:rsidR="00321B69" w:rsidRDefault="00321B69" w:rsidP="00321B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5.05pt;margin-top:1.8pt;width:32.65pt;height:2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McbwIAAB4FAAAOAAAAZHJzL2Uyb0RvYy54bWysVN1O2zAUvp+0d7B8P9KUAqMiRRWIaRKC&#10;Cpi4dh27jeb4eMduk+5t9iy82I6dNDDWq2k3jk/O/3e+44vLtjZsq9BXYAueH404U1ZCWdlVwb89&#10;3Xz6zJkPwpbCgFUF3ynPL2cfP1w0bqrGsAZTKmQUxPpp4wq+DsFNs8zLtaqFPwKnLCk1YC0CibjK&#10;ShQNRa9NNh6NTrMGsHQIUnlPf687JZ+l+ForGe619iowU3CqLaQT07mMZza7ENMVCreuZF+G+Icq&#10;alFZSjqEuhZBsA1Wf4WqK4ngQYcjCXUGWldSpR6om3z0rpvHtXAq9ULgeDfA5P9fWHm3XSCryoKf&#10;cGZFTSN6INBeftnVxgA7iQA1zk/J7tEtsJc8XWO3rcY6fqkP1iZQdwOoqg1M0s9JPjk9I+glqY5H&#10;Z+fHeYyZvTo79OGLgprFS8GR0icoxfbWh850b0J+sZgufbqFnVGxAmMflKY+KOE4eScGqSuDbCto&#10;9kJKZcNpnzpZRzddGTM45occTdjX29tGN5WYNTiODjn+mXHwSFnBhsG5rizgoQDl9yFzZ7/vvus5&#10;th/aZduPZAnljiaJ0FHcO3lTEZ63woeFQOI0jYD2NNzToQ00BYf+xtka8Oeh/9GeqEZazhrakYL7&#10;HxuBijPz1RIJz/PJJC5VEiYnZ2MS8K1m+VZjN/UV0ChyehGcTNdoH8z+qhHqZ1rnecxKKmEl5S64&#10;DLgXrkK3u/QgSDWfJzNaJCfCrX10MgaPAEe+PLXPAl1PqkBsvIP9PonpO251ttHTwnwTQFeJeBHi&#10;DtceelrCRN3+wYhb/lZOVq/P2uw3AAAA//8DAFBLAwQUAAYACAAAACEAzsrDBNwAAAAIAQAADwAA&#10;AGRycy9kb3ducmV2LnhtbEyPwU7DMBBE75X4B2uRuLWOWxJBiFMVUOEKBdqrGy9JRLyOYqcNf89y&#10;guPqjWbeFuvJdeKEQ2g9aVCLBARS5W1LtYb3t+38BkSIhqzpPKGGbwywLi9mhcmtP9MrnnaxFlxC&#10;ITcamhj7XMpQNehMWPgeidmnH5yJfA61tIM5c7nr5DJJMulMS7zQmB4fGqy+dqPTMFZP94e637w8&#10;blf0LL26dR97q/XV5bS5AxFxin9h+NVndSjZ6ehHskF0GtI0URzVsMpAMM9Ueg3iyGCpQJaF/P9A&#10;+QMAAP//AwBQSwECLQAUAAYACAAAACEAtoM4kv4AAADhAQAAEwAAAAAAAAAAAAAAAAAAAAAAW0Nv&#10;bnRlbnRfVHlwZXNdLnhtbFBLAQItABQABgAIAAAAIQA4/SH/1gAAAJQBAAALAAAAAAAAAAAAAAAA&#10;AC8BAABfcmVscy8ucmVsc1BLAQItABQABgAIAAAAIQAscVMcbwIAAB4FAAAOAAAAAAAAAAAAAAAA&#10;AC4CAABkcnMvZTJvRG9jLnhtbFBLAQItABQABgAIAAAAIQDOysME3AAAAAgBAAAPAAAAAAAAAAAA&#10;AAAAAMkEAABkcnMvZG93bnJldi54bWxQSwUGAAAAAAQABADzAAAA0gUAAAAA&#10;" fillcolor="white [3201]" strokecolor="#70ad47 [3209]" strokeweight="1pt">
                      <v:textbox>
                        <w:txbxContent>
                          <w:p w14:paraId="2F03909F" w14:textId="13554DDF" w:rsidR="00321B69" w:rsidRDefault="00321B69" w:rsidP="00321B69">
                            <w:pPr>
                              <w:jc w:val="cente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E1A47D0">
                      <wp:simplePos x="0" y="0"/>
                      <wp:positionH relativeFrom="column">
                        <wp:posOffset>3131568</wp:posOffset>
                      </wp:positionH>
                      <wp:positionV relativeFrom="paragraph">
                        <wp:posOffset>158528</wp:posOffset>
                      </wp:positionV>
                      <wp:extent cx="478465" cy="265814"/>
                      <wp:effectExtent l="0" t="0" r="17145" b="13970"/>
                      <wp:wrapNone/>
                      <wp:docPr id="6" name="Rectángulo 6"/>
                      <wp:cNvGraphicFramePr/>
                      <a:graphic xmlns:a="http://schemas.openxmlformats.org/drawingml/2006/main">
                        <a:graphicData uri="http://schemas.microsoft.com/office/word/2010/wordprocessingShape">
                          <wps:wsp>
                            <wps:cNvSpPr/>
                            <wps:spPr>
                              <a:xfrm>
                                <a:off x="0" y="0"/>
                                <a:ext cx="478465" cy="265814"/>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ED8BD5" w14:textId="652E2937" w:rsidR="00AA37BB" w:rsidRDefault="00AA37BB" w:rsidP="00AA37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6pt;margin-top:12.5pt;width:37.65pt;height:20.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8iFcgIAACUFAAAOAAAAZHJzL2Uyb0RvYy54bWysVN1O2zAUvp+0d7B8P9JUpbCKFFUgpkkI&#10;EGXi2nXsNprj4x27Tbq32bPsxTh20sBYr6bdJD4+33f+jy8u29qwnUJfgS14fjLiTFkJZWXXBf/2&#10;dPPpnDMfhC2FAasKvleeX84/frho3EyNYQOmVMjIiPWzxhV8E4KbZZmXG1ULfwJOWVJqwFoEEnGd&#10;lSgasl6bbDwaTbMGsHQIUnlPt9edks+Tfa2VDPdaexWYKTjFFtIX03cVv9n8QszWKNymkn0Y4h+i&#10;qEVlyelg6loEwbZY/WWqriSCBx1OJNQZaF1JlXKgbPLRu2yWG+FUyoWK491QJv//zMq73QOyqiz4&#10;lDMramrRIxXt9y+73hpg01igxvkZ4ZbuAXvJ0zFm22qs45/yYG0q6n4oqmoDk3Q5OTufTE85k6Qa&#10;T0/P80m0mb2SHfrwRUHN4qHgSO5TKcXu1ocOeoAQLwbTuU+nsDcqRmDso9KUBzkcJ3aaIHVlkO0E&#10;9V5IqWxI6ZDrhI40XRkzEPNjRBPyPt4eG2kqTdZAHB0j/ulxYCSvYMNArisLeMxA+X3w3OEP2Xc5&#10;x/RDu2pT8xIy3qyg3FNDEbpJ907eVFTWW+HDg0AabVoCWtdwTx9toCk49CfONoA/j91HPE0caTlr&#10;aFUK7n9sBSrOzFdLs/g5n0zibiVhcno2JgHfalZvNXZbXwF1JKeHwcl0jPhgDkeNUD/TVi+iV1IJ&#10;K8l3wWXAg3AVuhWmd0GqxSLBaJ+cCLd26WQ0Huscx+apfRbo+tkKNJR3cFgrMXs3Yh02Mi0stgF0&#10;lebvta59B2gX0wT370Zc9rdyQr2+bvMXAAAA//8DAFBLAwQUAAYACAAAACEAFs83Nt4AAAAJAQAA&#10;DwAAAGRycy9kb3ducmV2LnhtbEyPy07DMBBF95X4B2uQ2LVOUxI1IZOqBRW2UF5bNzZJ1HgcxU4b&#10;/p5hBcvRHN17brGZbCfOZvCtI4TlIgJhqHK6pRrh7XU/X4PwQZFWnSOD8G08bMqrWaFy7S70Ys6H&#10;UAsOIZ8rhCaEPpfSV42xyi9cb4h/X26wKvA51FIP6sLhtpNxFKXSqpa4oVG9uW9MdTqMFmGsHnef&#10;db99ftiv6Em6ZWbfPzTizfW0vQMRzBT+YPjVZ3Uo2enoRtJedAi32SpmFCFOeBMDSbpOQBwR0jQD&#10;WRby/4LyBwAA//8DAFBLAQItABQABgAIAAAAIQC2gziS/gAAAOEBAAATAAAAAAAAAAAAAAAAAAAA&#10;AABbQ29udGVudF9UeXBlc10ueG1sUEsBAi0AFAAGAAgAAAAhADj9If/WAAAAlAEAAAsAAAAAAAAA&#10;AAAAAAAALwEAAF9yZWxzLy5yZWxzUEsBAi0AFAAGAAgAAAAhAHBDyIVyAgAAJQUAAA4AAAAAAAAA&#10;AAAAAAAALgIAAGRycy9lMm9Eb2MueG1sUEsBAi0AFAAGAAgAAAAhABbPNzbeAAAACQEAAA8AAAAA&#10;AAAAAAAAAAAAzAQAAGRycy9kb3ducmV2LnhtbFBLBQYAAAAABAAEAPMAAADXBQAAAAA=&#10;" fillcolor="white [3201]" strokecolor="#70ad47 [3209]" strokeweight="1pt">
                      <v:textbox>
                        <w:txbxContent>
                          <w:p w14:paraId="62ED8BD5" w14:textId="652E2937" w:rsidR="00AA37BB" w:rsidRDefault="00AA37BB" w:rsidP="00AA37BB">
                            <w:pPr>
                              <w:jc w:val="center"/>
                            </w:pP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23DE0ABC">
                      <wp:simplePos x="0" y="0"/>
                      <wp:positionH relativeFrom="column">
                        <wp:posOffset>1611113</wp:posOffset>
                      </wp:positionH>
                      <wp:positionV relativeFrom="paragraph">
                        <wp:posOffset>325149</wp:posOffset>
                      </wp:positionV>
                      <wp:extent cx="372140" cy="340241"/>
                      <wp:effectExtent l="0" t="0" r="8890" b="15875"/>
                      <wp:wrapNone/>
                      <wp:docPr id="15" name="Rectángulo 15"/>
                      <wp:cNvGraphicFramePr/>
                      <a:graphic xmlns:a="http://schemas.openxmlformats.org/drawingml/2006/main">
                        <a:graphicData uri="http://schemas.microsoft.com/office/word/2010/wordprocessingShape">
                          <wps:wsp>
                            <wps:cNvSpPr/>
                            <wps:spPr>
                              <a:xfrm>
                                <a:off x="0" y="0"/>
                                <a:ext cx="372140" cy="34024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D14F5A" w14:textId="486043C0" w:rsidR="00AA37BB" w:rsidRDefault="00AA37BB" w:rsidP="00AA37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85pt;margin-top:25.6pt;width:29.3pt;height:2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UmcgIAACcFAAAOAAAAZHJzL2Uyb0RvYy54bWysVEtu2zAQ3RfoHQjuG1mKk7SG5cBwkKJA&#10;kARJiqxpirSFkhyWpC25t+lZerEOqU/S1KuiG4nD+b95w/llqxXZC+drMCXNTyaUCMOhqs2mpF+f&#10;rj98pMQHZiqmwIiSHoSnl4v37+aNnYkCtqAq4QgGMX7W2JJuQ7CzLPN8KzTzJ2CFQaUEp1lA0W2y&#10;yrEGo2uVFZPJedaAq6wDLrzH26tOSRcpvpSChzspvQhElRRrC+nr0ncdv9lizmYbx+y25n0Z7B+q&#10;0Kw2mHQMdcUCIztX/xVK19yBBxlOOOgMpKy5SD1gN/nkTTePW2ZF6gXB8XaEyf+/sPx2f+9IXeHs&#10;zigxTOOMHhC1Xz/NZqeA4C1C1Fg/Q8tHe+96yeMx9ttKp+MfOyFtgvUwwiraQDhenl4U+RTB56g6&#10;nU6KaR5jZi/O1vnwWYAm8VBSh/kTmGx/40NnOpigXyymS59O4aBErECZByGxE0xYJO/EIbFSjuwZ&#10;Tp9xLkw471Mn6+gma6VGx/yYowpDvb1tdBOJW6Pj5JjjnxlHj5QVTBiddW3AHQtQfRszd/ZD913P&#10;sf3Qrts0vmKY0xqqA47UQcd1b/l1jbDeMB/umUNy4yRwYcMdfqSCpqTQnyjZgvtx7D7aI+dQS0mD&#10;y1JS/33HnKBEfTHIxk/5NA44JGF6dlGg4F5r1q81ZqdXgBPJ8WmwPB2jfVDDUTrQz7jXy5gVVcxw&#10;zF1SHtwgrEK3xPgycLFcJjPcKMvCjXm0PAaPOEfaPLXPzNmeWwFJeQvDYrHZG4p1ttHTwHIXQNaJ&#10;fxHpDtd+AriNicH9yxHX/bWcrF7et8VvAAAA//8DAFBLAwQUAAYACAAAACEA6oYdw98AAAAKAQAA&#10;DwAAAGRycy9kb3ducmV2LnhtbEyPy07DMBBF90j8gzVI7KjzoLRN41QFVLqFFtqtGw9JRDyOYqcN&#10;f8+wguXoHt17Jl+NthVn7H3jSEE8iUAglc40VCl432/u5iB80GR06wgVfKOHVXF9levMuAu94XkX&#10;KsEl5DOtoA6hy6T0ZY1W+4nrkDj7dL3Vgc++kqbXFy63rUyi6EFa3RAv1LrDpxrLr91gFQzly+Ox&#10;6tavz5uUttLFC/txMErd3ozrJYiAY/iD4Vef1aFgp5MbyHjRKkim6YxRBdM4AcFAGicpiBOT0f0c&#10;ZJHL/y8UPwAAAP//AwBQSwECLQAUAAYACAAAACEAtoM4kv4AAADhAQAAEwAAAAAAAAAAAAAAAAAA&#10;AAAAW0NvbnRlbnRfVHlwZXNdLnhtbFBLAQItABQABgAIAAAAIQA4/SH/1gAAAJQBAAALAAAAAAAA&#10;AAAAAAAAAC8BAABfcmVscy8ucmVsc1BLAQItABQABgAIAAAAIQCSFcUmcgIAACcFAAAOAAAAAAAA&#10;AAAAAAAAAC4CAABkcnMvZTJvRG9jLnhtbFBLAQItABQABgAIAAAAIQDqhh3D3wAAAAoBAAAPAAAA&#10;AAAAAAAAAAAAAMwEAABkcnMvZG93bnJldi54bWxQSwUGAAAAAAQABADzAAAA2AUAAAAA&#10;" fillcolor="white [3201]" strokecolor="#70ad47 [3209]" strokeweight="1pt">
                      <v:textbox>
                        <w:txbxContent>
                          <w:p w14:paraId="27D14F5A" w14:textId="486043C0" w:rsidR="00AA37BB" w:rsidRDefault="00AA37BB" w:rsidP="00AA37BB">
                            <w:pPr>
                              <w:jc w:val="center"/>
                            </w:pP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0D3B5570">
                      <wp:simplePos x="0" y="0"/>
                      <wp:positionH relativeFrom="column">
                        <wp:posOffset>1021715</wp:posOffset>
                      </wp:positionH>
                      <wp:positionV relativeFrom="paragraph">
                        <wp:posOffset>179070</wp:posOffset>
                      </wp:positionV>
                      <wp:extent cx="289560" cy="327660"/>
                      <wp:effectExtent l="0" t="0" r="15240" b="15240"/>
                      <wp:wrapNone/>
                      <wp:docPr id="18" name="Rectángulo 18"/>
                      <wp:cNvGraphicFramePr/>
                      <a:graphic xmlns:a="http://schemas.openxmlformats.org/drawingml/2006/main">
                        <a:graphicData uri="http://schemas.microsoft.com/office/word/2010/wordprocessingShape">
                          <wps:wsp>
                            <wps:cNvSpPr/>
                            <wps:spPr>
                              <a:xfrm>
                                <a:off x="0" y="0"/>
                                <a:ext cx="289560" cy="3276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C0F045" w14:textId="77777777" w:rsidR="003F5949" w:rsidRDefault="003F5949" w:rsidP="003F5949">
                                  <w:pPr>
                                    <w:jc w:val="center"/>
                                  </w:pPr>
                                  <w:r w:rsidRPr="00AA37BB">
                                    <w:rPr>
                                      <w:highlight w:val="yellow"/>
                                    </w:rPr>
                                    <w:t>X</w:t>
                                  </w:r>
                                </w:p>
                                <w:p w14:paraId="09659178" w14:textId="77777777" w:rsidR="003F5949" w:rsidRDefault="003F5949" w:rsidP="003F59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45pt;margin-top:14.1pt;width:22.8pt;height:25.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D0cgIAACcFAAAOAAAAZHJzL2Uyb0RvYy54bWysVMFu2zAMvQ/YPwi6r07SNG2DOkWQosOA&#10;og3aDj0rspQYk0WNUmJnf7Nv2Y+Nkh2363IadrFJkY8UyUddXTeVYTuFvgSb8+HJgDNlJRSlXef8&#10;6/PtpwvOfBC2EAasyvleeX49+/jhqnZTNYINmEIhoyDWT2uX800IbpplXm5UJfwJOGXJqAErEUjF&#10;dVagqCl6ZbLRYDDJasDCIUjlPZ3etEY+S/G1VjI8aO1VYCbndLeQvpi+q/jNZldiukbhNqXsriH+&#10;4RaVKC0l7UPdiCDYFsu/QlWlRPCgw4mEKgOtS6lSDVTNcPCumqeNcCrVQs3xrm+T/39h5f1uiaws&#10;aHY0KSsqmtEjde3XT7veGmB0Si2qnZ+S55NbYqd5EmO9jcYq/qkS1qS27vu2qiYwSYeji8uzCTVf&#10;kul0dD4hmaJkr2CHPnxWULEo5Bwpf2qm2N350LoeXAgXL9OmT1LYGxVvYOyj0lRJTJjQiUNqYZDt&#10;BE1fSKlsmHSpk3eE6dKYHjg8BjRh2IE63whTiVs9cHAM+GfGHpGygg09uCot4LEAxbc+c+t/qL6t&#10;OZYfmlWTxnca7xhPVlDsaaQILde9k7cltfVO+LAUSOSmSdDChgf6aAN1zqGTONsA/jh2Hv2Jc2Tl&#10;rKZlybn/vhWoODNfLLHxcjgex+1KyvjsfEQKvrWs3lrstloATWRIT4OTSYz+wRxEjVC90F7PY1Yy&#10;CSspd85lwIOyCO0S08sg1Xye3GijnAh39snJGDz2OdLmuXkR6DpuBSLlPRwWS0zfUaz1jUgL820A&#10;XSb+vfa1mwBtY2Jw93LEdX+rJ6/X9232GwAA//8DAFBLAwQUAAYACAAAACEAM6eZ3d0AAAAJAQAA&#10;DwAAAGRycy9kb3ducmV2LnhtbEyPwU7DMBBE70j8g7VI3KjdIEIS4lQFVLhCgfbqxksSEa+j2GnD&#10;37Oc4Djap5m35Wp2vTjiGDpPGpYLBQKp9rajRsP72+YqAxGiIWt6T6jhGwOsqvOz0hTWn+gVj9vY&#10;CC6hUBgNbYxDIWWoW3QmLPyAxLdPPzoTOY6NtKM5cbnrZaJUKp3piBdaM+BDi/XXdnIapvrpft8M&#10;65fHzTU9S7/M3cfOan15Ma/vQESc4x8Mv/qsDhU7HfxENoiec6pyRjUkWQKCgUSlNyAOGm7zDGRV&#10;yv8fVD8AAAD//wMAUEsBAi0AFAAGAAgAAAAhALaDOJL+AAAA4QEAABMAAAAAAAAAAAAAAAAAAAAA&#10;AFtDb250ZW50X1R5cGVzXS54bWxQSwECLQAUAAYACAAAACEAOP0h/9YAAACUAQAACwAAAAAAAAAA&#10;AAAAAAAvAQAAX3JlbHMvLnJlbHNQSwECLQAUAAYACAAAACEAEABQ9HICAAAnBQAADgAAAAAAAAAA&#10;AAAAAAAuAgAAZHJzL2Uyb0RvYy54bWxQSwECLQAUAAYACAAAACEAM6eZ3d0AAAAJAQAADwAAAAAA&#10;AAAAAAAAAADMBAAAZHJzL2Rvd25yZXYueG1sUEsFBgAAAAAEAAQA8wAAANYFAAAAAA==&#10;" fillcolor="white [3201]" strokecolor="#70ad47 [3209]" strokeweight="1pt">
                      <v:textbox>
                        <w:txbxContent>
                          <w:p w14:paraId="11C0F045" w14:textId="77777777" w:rsidR="003F5949" w:rsidRDefault="003F5949" w:rsidP="003F5949">
                            <w:pPr>
                              <w:jc w:val="center"/>
                            </w:pPr>
                            <w:r w:rsidRPr="00AA37BB">
                              <w:rPr>
                                <w:highlight w:val="yellow"/>
                              </w:rPr>
                              <w:t>X</w:t>
                            </w:r>
                          </w:p>
                          <w:p w14:paraId="09659178" w14:textId="77777777" w:rsidR="003F5949" w:rsidRDefault="003F5949" w:rsidP="003F5949">
                            <w:pPr>
                              <w:jc w:val="center"/>
                            </w:pP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34CF2F00"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En la misma providencia debe fijar el litig</w:t>
            </w:r>
            <w:r w:rsidR="003F5949">
              <w:rPr>
                <w:rFonts w:ascii="Arial" w:eastAsia="Calibri" w:hAnsi="Arial" w:cs="Arial"/>
                <w:lang w:val="es-MX"/>
              </w:rPr>
              <w:t>io u objeto de la controversia. APLICABLE AL CASO.</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630A717D"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Correr traslado para alegar de conclusión en la forma prevista en el inciso final</w:t>
            </w:r>
            <w:r w:rsidR="003F5949">
              <w:rPr>
                <w:rFonts w:ascii="Arial" w:eastAsia="Calibri" w:hAnsi="Arial" w:cs="Arial"/>
                <w:lang w:val="es-MX"/>
              </w:rPr>
              <w:t xml:space="preserve"> del artículo 181 del CPACA, y, APLICABLE AL CASO</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w:t>
            </w:r>
            <w:proofErr w:type="gramStart"/>
            <w:r w:rsidRPr="001F2D25">
              <w:rPr>
                <w:rFonts w:ascii="Arial" w:eastAsia="Calibri" w:hAnsi="Arial" w:cs="Arial"/>
                <w:i/>
                <w:sz w:val="18"/>
                <w:szCs w:val="18"/>
                <w:lang w:val="es-MX"/>
              </w:rPr>
              <w:t>dos mil veintiuno</w:t>
            </w:r>
            <w:proofErr w:type="gramEnd"/>
            <w:r w:rsidRPr="001F2D25">
              <w:rPr>
                <w:rFonts w:ascii="Arial" w:eastAsia="Calibri" w:hAnsi="Arial" w:cs="Arial"/>
                <w:i/>
                <w:sz w:val="18"/>
                <w:szCs w:val="18"/>
                <w:lang w:val="es-MX"/>
              </w:rPr>
              <w:t xml:space="preserve">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41CB10B" w14:textId="131F122C" w:rsidR="002F7D1D" w:rsidRDefault="002F7D1D">
      <w:pPr>
        <w:rPr>
          <w:rFonts w:ascii="Arial" w:hAnsi="Arial" w:cs="Arial"/>
          <w:lang w:val="es-MX"/>
        </w:rPr>
      </w:pPr>
    </w:p>
    <w:p w14:paraId="2A08E56C" w14:textId="325625FE" w:rsidR="00EB365E" w:rsidRDefault="00EB365E">
      <w:pPr>
        <w:rPr>
          <w:rFonts w:ascii="Arial" w:hAnsi="Arial" w:cs="Arial"/>
          <w:lang w:val="es-MX"/>
        </w:rPr>
      </w:pPr>
    </w:p>
    <w:p w14:paraId="2DFC5F3C" w14:textId="45DE5218" w:rsidR="00EB365E" w:rsidRDefault="00EB365E">
      <w:pPr>
        <w:rPr>
          <w:rFonts w:ascii="Arial" w:hAnsi="Arial" w:cs="Arial"/>
          <w:lang w:val="es-MX"/>
        </w:rPr>
      </w:pPr>
    </w:p>
    <w:p w14:paraId="4AB1A1BE" w14:textId="3BD2E8E0" w:rsidR="00EB365E" w:rsidRDefault="00EB365E" w:rsidP="00EB365E">
      <w:pPr>
        <w:jc w:val="both"/>
        <w:rPr>
          <w:rFonts w:ascii="Arial Narrow" w:hAnsi="Arial Narrow"/>
          <w:b/>
          <w:bCs/>
        </w:rPr>
      </w:pPr>
    </w:p>
    <w:p w14:paraId="253CBDA2" w14:textId="77777777" w:rsidR="00EB365E" w:rsidRDefault="00EB365E" w:rsidP="00EB365E">
      <w:pPr>
        <w:jc w:val="both"/>
        <w:rPr>
          <w:rFonts w:ascii="Arial Narrow" w:hAnsi="Arial Narrow"/>
          <w:b/>
          <w:bCs/>
        </w:rPr>
      </w:pPr>
    </w:p>
    <w:p w14:paraId="1B96DA94" w14:textId="77777777" w:rsidR="00EB365E" w:rsidRDefault="00EB365E" w:rsidP="00EB365E">
      <w:pPr>
        <w:jc w:val="both"/>
        <w:rPr>
          <w:rFonts w:ascii="Arial Narrow" w:hAnsi="Arial Narrow"/>
          <w:b/>
          <w:bCs/>
        </w:rPr>
      </w:pPr>
    </w:p>
    <w:p w14:paraId="054C3078" w14:textId="77777777" w:rsidR="00EB365E" w:rsidRDefault="00EB365E" w:rsidP="00EB365E">
      <w:pPr>
        <w:rPr>
          <w:rFonts w:ascii="Arial Narrow" w:hAnsi="Arial Narrow"/>
          <w:b/>
          <w:bCs/>
        </w:rPr>
      </w:pPr>
    </w:p>
    <w:p w14:paraId="5AE44D83" w14:textId="77777777" w:rsidR="003F5949" w:rsidRPr="006376D3" w:rsidRDefault="003F5949" w:rsidP="003F5949">
      <w:pPr>
        <w:pStyle w:val="Textoindependiente"/>
        <w:tabs>
          <w:tab w:val="left" w:pos="2334"/>
        </w:tabs>
        <w:overflowPunct/>
        <w:autoSpaceDE/>
        <w:autoSpaceDN/>
        <w:adjustRightInd/>
        <w:spacing w:before="20" w:after="20"/>
        <w:jc w:val="center"/>
        <w:textAlignment w:val="auto"/>
        <w:rPr>
          <w:rFonts w:ascii="Arial" w:eastAsia="Arial" w:hAnsi="Arial" w:cs="Arial"/>
          <w:b/>
          <w:bCs/>
          <w:kern w:val="0"/>
          <w:sz w:val="24"/>
          <w:szCs w:val="24"/>
          <w:lang w:val="es-ES"/>
        </w:rPr>
      </w:pPr>
      <w:r w:rsidRPr="28318911">
        <w:rPr>
          <w:rFonts w:ascii="Arial" w:eastAsia="Arial" w:hAnsi="Arial" w:cs="Arial"/>
          <w:b/>
          <w:bCs/>
          <w:kern w:val="0"/>
          <w:sz w:val="24"/>
          <w:szCs w:val="24"/>
          <w:lang w:val="es-ES"/>
        </w:rPr>
        <w:t>JUZGADO ADMINISTRATIVO TRANSITORIO DEL CIRCUITO JUDICIAL DE TUNJA</w:t>
      </w:r>
    </w:p>
    <w:p w14:paraId="037E6F0A" w14:textId="77777777" w:rsidR="003F5949" w:rsidRPr="00711F91" w:rsidRDefault="003F5949" w:rsidP="003F5949">
      <w:pPr>
        <w:pStyle w:val="Textoindependiente"/>
        <w:tabs>
          <w:tab w:val="left" w:pos="2334"/>
        </w:tabs>
        <w:overflowPunct/>
        <w:autoSpaceDE/>
        <w:autoSpaceDN/>
        <w:adjustRightInd/>
        <w:spacing w:before="20" w:after="20"/>
        <w:textAlignment w:val="auto"/>
        <w:rPr>
          <w:rFonts w:ascii="Arial" w:eastAsia="Arial" w:hAnsi="Arial" w:cs="Arial"/>
          <w:kern w:val="0"/>
          <w:sz w:val="24"/>
          <w:szCs w:val="24"/>
          <w:lang w:val="es-ES"/>
        </w:rPr>
      </w:pPr>
    </w:p>
    <w:p w14:paraId="24767AF2" w14:textId="2851F9EA" w:rsidR="003F5949" w:rsidRPr="00123D9E" w:rsidRDefault="003F5949" w:rsidP="003F5949">
      <w:pPr>
        <w:pStyle w:val="Textoindependiente"/>
        <w:tabs>
          <w:tab w:val="left" w:pos="2334"/>
        </w:tabs>
        <w:overflowPunct/>
        <w:autoSpaceDE/>
        <w:autoSpaceDN/>
        <w:adjustRightInd/>
        <w:spacing w:before="20" w:after="20"/>
        <w:textAlignment w:val="auto"/>
        <w:rPr>
          <w:rFonts w:ascii="Arial" w:eastAsia="Arial" w:hAnsi="Arial" w:cs="Arial"/>
          <w:kern w:val="0"/>
          <w:sz w:val="22"/>
          <w:szCs w:val="22"/>
          <w:lang w:val="es-ES"/>
        </w:rPr>
      </w:pPr>
      <w:r w:rsidRPr="00123D9E">
        <w:rPr>
          <w:rFonts w:ascii="Arial" w:eastAsia="Arial" w:hAnsi="Arial" w:cs="Arial"/>
          <w:kern w:val="0"/>
          <w:sz w:val="22"/>
          <w:szCs w:val="22"/>
          <w:lang w:val="es-ES"/>
        </w:rPr>
        <w:t xml:space="preserve">Tunja, </w:t>
      </w:r>
      <w:proofErr w:type="gramStart"/>
      <w:r>
        <w:rPr>
          <w:rFonts w:ascii="Arial" w:eastAsia="Arial" w:hAnsi="Arial" w:cs="Arial"/>
          <w:sz w:val="22"/>
          <w:szCs w:val="22"/>
          <w:lang w:val="es-ES"/>
        </w:rPr>
        <w:t>Septiembre</w:t>
      </w:r>
      <w:proofErr w:type="gramEnd"/>
      <w:r>
        <w:rPr>
          <w:rFonts w:ascii="Arial" w:eastAsia="Arial" w:hAnsi="Arial" w:cs="Arial"/>
          <w:sz w:val="22"/>
          <w:szCs w:val="22"/>
          <w:lang w:val="es-ES"/>
        </w:rPr>
        <w:t xml:space="preserve"> 5</w:t>
      </w:r>
      <w:r w:rsidRPr="00123D9E">
        <w:rPr>
          <w:rFonts w:ascii="Arial" w:eastAsia="Arial" w:hAnsi="Arial" w:cs="Arial"/>
          <w:sz w:val="22"/>
          <w:szCs w:val="22"/>
          <w:lang w:val="es-ES"/>
        </w:rPr>
        <w:t xml:space="preserve"> de dos mil veintiuno (2021)</w:t>
      </w:r>
    </w:p>
    <w:p w14:paraId="7057651C" w14:textId="77777777" w:rsidR="003F5949" w:rsidRPr="00123D9E" w:rsidRDefault="003F5949" w:rsidP="003F5949">
      <w:pPr>
        <w:pStyle w:val="Textoindependiente"/>
        <w:tabs>
          <w:tab w:val="left" w:pos="2334"/>
        </w:tabs>
        <w:overflowPunct/>
        <w:autoSpaceDE/>
        <w:autoSpaceDN/>
        <w:adjustRightInd/>
        <w:spacing w:before="20" w:after="20"/>
        <w:textAlignment w:val="auto"/>
        <w:rPr>
          <w:rFonts w:ascii="Arial" w:eastAsia="Arial" w:hAnsi="Arial" w:cs="Arial"/>
          <w:sz w:val="22"/>
          <w:szCs w:val="22"/>
          <w:lang w:val="es-ES"/>
        </w:rPr>
      </w:pPr>
    </w:p>
    <w:p w14:paraId="63CEE326" w14:textId="77777777" w:rsidR="003F5949" w:rsidRPr="00123D9E" w:rsidRDefault="003F5949" w:rsidP="003F5949">
      <w:pPr>
        <w:tabs>
          <w:tab w:val="left" w:pos="709"/>
        </w:tabs>
        <w:spacing w:before="20" w:after="20"/>
        <w:jc w:val="both"/>
        <w:rPr>
          <w:rFonts w:ascii="Arial" w:eastAsia="Arial" w:hAnsi="Arial" w:cs="Arial"/>
          <w:lang w:val="es-ES"/>
        </w:rPr>
      </w:pPr>
      <w:r w:rsidRPr="00123D9E">
        <w:rPr>
          <w:rFonts w:ascii="Arial" w:eastAsia="Arial" w:hAnsi="Arial" w:cs="Arial"/>
          <w:lang w:val="es-ES"/>
        </w:rPr>
        <w:t>Medio de Control</w:t>
      </w:r>
      <w:r w:rsidRPr="00123D9E">
        <w:rPr>
          <w:rFonts w:ascii="Arial" w:eastAsia="Arial" w:hAnsi="Arial" w:cs="Arial"/>
        </w:rPr>
        <w:tab/>
      </w:r>
      <w:r w:rsidRPr="00123D9E">
        <w:rPr>
          <w:rFonts w:ascii="Arial" w:eastAsia="Arial" w:hAnsi="Arial" w:cs="Arial"/>
        </w:rPr>
        <w:tab/>
      </w:r>
      <w:r w:rsidRPr="00123D9E">
        <w:rPr>
          <w:rFonts w:ascii="Arial" w:eastAsia="Arial" w:hAnsi="Arial" w:cs="Arial"/>
          <w:lang w:val="es-ES"/>
        </w:rPr>
        <w:t>: NULIDAD Y RESTABLECIMIENTO DEL DERECHO</w:t>
      </w:r>
    </w:p>
    <w:p w14:paraId="12ED0BF0" w14:textId="5968E079" w:rsidR="003F5949" w:rsidRPr="00123D9E" w:rsidRDefault="003F5949" w:rsidP="003F5949">
      <w:pPr>
        <w:tabs>
          <w:tab w:val="left" w:pos="709"/>
        </w:tabs>
        <w:spacing w:before="20" w:after="20"/>
        <w:jc w:val="both"/>
        <w:rPr>
          <w:rFonts w:ascii="Arial" w:eastAsia="Arial" w:hAnsi="Arial" w:cs="Arial"/>
          <w:lang w:val="es-ES"/>
        </w:rPr>
      </w:pPr>
      <w:r w:rsidRPr="00123D9E">
        <w:rPr>
          <w:rFonts w:ascii="Arial" w:eastAsia="Arial" w:hAnsi="Arial" w:cs="Arial"/>
          <w:lang w:val="es-ES"/>
        </w:rPr>
        <w:t>Radicación No.</w:t>
      </w:r>
      <w:r w:rsidRPr="00123D9E">
        <w:rPr>
          <w:rFonts w:ascii="Arial" w:eastAsia="Arial" w:hAnsi="Arial" w:cs="Arial"/>
        </w:rPr>
        <w:tab/>
      </w:r>
      <w:r w:rsidRPr="00123D9E">
        <w:rPr>
          <w:rFonts w:ascii="Arial" w:eastAsia="Arial" w:hAnsi="Arial" w:cs="Arial"/>
        </w:rPr>
        <w:tab/>
      </w:r>
      <w:r w:rsidRPr="00123D9E">
        <w:rPr>
          <w:rFonts w:ascii="Arial" w:eastAsia="Arial" w:hAnsi="Arial" w:cs="Arial"/>
          <w:lang w:val="es-ES"/>
        </w:rPr>
        <w:t xml:space="preserve">: </w:t>
      </w:r>
      <w:bookmarkStart w:id="0" w:name="_Hlk68573619"/>
      <w:r w:rsidRPr="00123D9E">
        <w:rPr>
          <w:rFonts w:ascii="Arial" w:eastAsia="Arial" w:hAnsi="Arial" w:cs="Arial"/>
          <w:lang w:val="es-ES"/>
        </w:rPr>
        <w:t>150013333011</w:t>
      </w:r>
      <w:r>
        <w:rPr>
          <w:rFonts w:ascii="Arial" w:eastAsia="Arial" w:hAnsi="Arial" w:cs="Arial"/>
          <w:lang w:val="es-ES"/>
        </w:rPr>
        <w:t>-2019012234</w:t>
      </w:r>
      <w:r w:rsidRPr="00123D9E">
        <w:rPr>
          <w:rFonts w:ascii="Arial" w:eastAsia="Arial" w:hAnsi="Arial" w:cs="Arial"/>
          <w:lang w:val="es-ES"/>
        </w:rPr>
        <w:t>-00</w:t>
      </w:r>
      <w:bookmarkEnd w:id="0"/>
    </w:p>
    <w:p w14:paraId="2AEFB594" w14:textId="74E7594A" w:rsidR="003F5949" w:rsidRPr="00123D9E" w:rsidRDefault="003F5949" w:rsidP="003F5949">
      <w:pPr>
        <w:tabs>
          <w:tab w:val="left" w:pos="709"/>
        </w:tabs>
        <w:spacing w:before="20" w:after="20"/>
        <w:jc w:val="both"/>
        <w:rPr>
          <w:rFonts w:ascii="Arial" w:eastAsia="Arial" w:hAnsi="Arial" w:cs="Arial"/>
          <w:lang w:val="es-ES"/>
        </w:rPr>
      </w:pPr>
      <w:r w:rsidRPr="00123D9E">
        <w:rPr>
          <w:rFonts w:ascii="Arial" w:eastAsia="Arial" w:hAnsi="Arial" w:cs="Arial"/>
          <w:lang w:val="es-ES"/>
        </w:rPr>
        <w:t>Demandante</w:t>
      </w:r>
      <w:r w:rsidRPr="00123D9E">
        <w:rPr>
          <w:rFonts w:ascii="Arial" w:eastAsia="Arial" w:hAnsi="Arial" w:cs="Arial"/>
        </w:rPr>
        <w:tab/>
      </w:r>
      <w:r w:rsidRPr="00123D9E">
        <w:rPr>
          <w:rFonts w:ascii="Arial" w:eastAsia="Arial" w:hAnsi="Arial" w:cs="Arial"/>
        </w:rPr>
        <w:tab/>
      </w:r>
      <w:r w:rsidRPr="00123D9E">
        <w:rPr>
          <w:rFonts w:ascii="Arial" w:eastAsia="Arial" w:hAnsi="Arial" w:cs="Arial"/>
        </w:rPr>
        <w:tab/>
      </w:r>
      <w:r w:rsidRPr="00123D9E">
        <w:rPr>
          <w:rFonts w:ascii="Arial" w:eastAsia="Arial" w:hAnsi="Arial" w:cs="Arial"/>
          <w:lang w:val="es-ES"/>
        </w:rPr>
        <w:t xml:space="preserve">: </w:t>
      </w:r>
      <w:r>
        <w:rPr>
          <w:rFonts w:ascii="Arial" w:hAnsi="Arial" w:cs="Arial"/>
          <w:lang w:val="es-MX"/>
        </w:rPr>
        <w:t>María Pérez</w:t>
      </w:r>
    </w:p>
    <w:p w14:paraId="4915BBDE" w14:textId="2BCABF62" w:rsidR="003F5949" w:rsidRPr="00123D9E" w:rsidRDefault="003F5949" w:rsidP="003F5949">
      <w:pPr>
        <w:tabs>
          <w:tab w:val="left" w:pos="709"/>
        </w:tabs>
        <w:spacing w:before="20" w:after="20"/>
        <w:ind w:left="2832" w:hanging="2832"/>
        <w:jc w:val="both"/>
        <w:rPr>
          <w:rFonts w:ascii="Arial" w:eastAsia="Arial" w:hAnsi="Arial" w:cs="Arial"/>
          <w:lang w:val="es-ES"/>
        </w:rPr>
      </w:pPr>
      <w:r w:rsidRPr="00123D9E">
        <w:rPr>
          <w:rFonts w:ascii="Arial" w:eastAsia="Arial" w:hAnsi="Arial" w:cs="Arial"/>
          <w:lang w:val="es-ES"/>
        </w:rPr>
        <w:t>Demandado</w:t>
      </w:r>
      <w:r w:rsidRPr="00123D9E">
        <w:rPr>
          <w:rFonts w:ascii="Arial" w:eastAsia="Arial" w:hAnsi="Arial" w:cs="Arial"/>
        </w:rPr>
        <w:tab/>
      </w:r>
      <w:r w:rsidRPr="00123D9E">
        <w:rPr>
          <w:rFonts w:ascii="Arial" w:eastAsia="Arial" w:hAnsi="Arial" w:cs="Arial"/>
          <w:lang w:val="es-ES"/>
        </w:rPr>
        <w:t>: LA NACIÓN – RAMA JUDICIAL – DIRECCIÓN EJECUTIVA DE ADMINISTRACIÓN JUDICIAL</w:t>
      </w:r>
    </w:p>
    <w:p w14:paraId="61D509F7" w14:textId="77777777" w:rsidR="003F5949" w:rsidRPr="00123D9E" w:rsidRDefault="003F5949" w:rsidP="003F5949">
      <w:pPr>
        <w:tabs>
          <w:tab w:val="left" w:pos="709"/>
        </w:tabs>
        <w:spacing w:before="20" w:after="20"/>
        <w:jc w:val="both"/>
        <w:rPr>
          <w:rFonts w:ascii="Arial" w:eastAsia="Arial" w:hAnsi="Arial" w:cs="Arial"/>
          <w:lang w:val="es-ES"/>
        </w:rPr>
      </w:pPr>
    </w:p>
    <w:p w14:paraId="44EC2C29" w14:textId="77777777" w:rsidR="003F5949" w:rsidRPr="00123D9E" w:rsidRDefault="003F5949" w:rsidP="003F5949">
      <w:pPr>
        <w:pStyle w:val="Prrafodelista"/>
        <w:numPr>
          <w:ilvl w:val="0"/>
          <w:numId w:val="17"/>
        </w:numPr>
        <w:tabs>
          <w:tab w:val="left" w:pos="2334"/>
        </w:tabs>
        <w:spacing w:after="0" w:line="240" w:lineRule="auto"/>
        <w:ind w:left="0"/>
        <w:jc w:val="both"/>
        <w:rPr>
          <w:rFonts w:ascii="Arial" w:eastAsia="Arial" w:hAnsi="Arial" w:cs="Arial"/>
          <w:b/>
          <w:bCs/>
          <w:lang w:val="es-ES"/>
        </w:rPr>
      </w:pPr>
      <w:r w:rsidRPr="00123D9E">
        <w:rPr>
          <w:rFonts w:ascii="Arial" w:eastAsia="Arial" w:hAnsi="Arial" w:cs="Arial"/>
          <w:b/>
          <w:bCs/>
          <w:lang w:val="es-ES"/>
        </w:rPr>
        <w:t>ESTADO PROCESAL.</w:t>
      </w:r>
    </w:p>
    <w:p w14:paraId="3366FC29" w14:textId="77777777" w:rsidR="003F5949" w:rsidRPr="00123D9E" w:rsidRDefault="003F5949" w:rsidP="003F5949">
      <w:pPr>
        <w:tabs>
          <w:tab w:val="left" w:pos="2334"/>
        </w:tabs>
        <w:jc w:val="both"/>
        <w:rPr>
          <w:rFonts w:ascii="Arial" w:eastAsia="Arial" w:hAnsi="Arial" w:cs="Arial"/>
          <w:b/>
          <w:bCs/>
          <w:lang w:val="es-ES"/>
        </w:rPr>
      </w:pPr>
    </w:p>
    <w:p w14:paraId="59B8A231" w14:textId="2B67231B" w:rsidR="003F5949" w:rsidRPr="003F5949" w:rsidRDefault="003F5949" w:rsidP="003F5949">
      <w:pPr>
        <w:tabs>
          <w:tab w:val="left" w:pos="2334"/>
        </w:tabs>
        <w:jc w:val="both"/>
        <w:rPr>
          <w:rFonts w:ascii="Arial" w:eastAsia="Arial" w:hAnsi="Arial" w:cs="Arial"/>
          <w:b/>
          <w:bCs/>
          <w:lang w:val="es-ES"/>
        </w:rPr>
      </w:pPr>
      <w:r w:rsidRPr="00123D9E">
        <w:rPr>
          <w:rFonts w:ascii="Arial" w:eastAsia="Arial" w:hAnsi="Arial" w:cs="Arial"/>
          <w:b/>
          <w:bCs/>
          <w:lang w:val="es-ES"/>
        </w:rPr>
        <w:t>Revisado el proceso se observa que:</w:t>
      </w:r>
    </w:p>
    <w:p w14:paraId="1B331C47" w14:textId="77777777" w:rsidR="003F5949" w:rsidRPr="00123D9E" w:rsidRDefault="003F5949" w:rsidP="003F5949">
      <w:pPr>
        <w:pStyle w:val="Prrafodelista"/>
        <w:numPr>
          <w:ilvl w:val="0"/>
          <w:numId w:val="18"/>
        </w:numPr>
        <w:tabs>
          <w:tab w:val="left" w:pos="2334"/>
        </w:tabs>
        <w:spacing w:after="0" w:line="240" w:lineRule="auto"/>
        <w:jc w:val="both"/>
        <w:rPr>
          <w:rFonts w:ascii="Arial" w:eastAsia="Arial" w:hAnsi="Arial" w:cs="Arial"/>
          <w:b/>
          <w:bCs/>
          <w:lang w:val="es"/>
        </w:rPr>
      </w:pPr>
      <w:r w:rsidRPr="00123D9E">
        <w:rPr>
          <w:rFonts w:ascii="Arial" w:eastAsia="Arial" w:hAnsi="Arial" w:cs="Arial"/>
          <w:lang w:val="es"/>
        </w:rPr>
        <w:t>La Entidad accionada contestó la demanda dentro del término de traslado respectivo y propuso las siguientes excepciones: COBRO DE LO NO DEBIDO e INNOMINDADA (</w:t>
      </w:r>
      <w:proofErr w:type="spellStart"/>
      <w:r w:rsidRPr="00123D9E">
        <w:rPr>
          <w:rFonts w:ascii="Arial" w:eastAsia="Arial" w:hAnsi="Arial" w:cs="Arial"/>
          <w:lang w:val="es"/>
        </w:rPr>
        <w:t>fls</w:t>
      </w:r>
      <w:proofErr w:type="spellEnd"/>
      <w:r w:rsidRPr="00123D9E">
        <w:rPr>
          <w:rFonts w:ascii="Arial" w:eastAsia="Arial" w:hAnsi="Arial" w:cs="Arial"/>
          <w:lang w:val="es"/>
        </w:rPr>
        <w:t>. 70 a 72).</w:t>
      </w:r>
    </w:p>
    <w:p w14:paraId="12D09E8C" w14:textId="77777777" w:rsidR="003F5949" w:rsidRPr="00123D9E" w:rsidRDefault="003F5949" w:rsidP="003F5949">
      <w:pPr>
        <w:pStyle w:val="Prrafodelista"/>
        <w:rPr>
          <w:rFonts w:ascii="Arial" w:eastAsia="Arial" w:hAnsi="Arial" w:cs="Arial"/>
          <w:b/>
          <w:bCs/>
          <w:lang w:val="es"/>
        </w:rPr>
      </w:pPr>
    </w:p>
    <w:p w14:paraId="220F1F41" w14:textId="0ED53718" w:rsidR="003F5949" w:rsidRPr="003F5949" w:rsidRDefault="003F5949" w:rsidP="003F5949">
      <w:pPr>
        <w:pStyle w:val="Prrafodelista"/>
        <w:numPr>
          <w:ilvl w:val="0"/>
          <w:numId w:val="18"/>
        </w:numPr>
        <w:tabs>
          <w:tab w:val="left" w:pos="2334"/>
        </w:tabs>
        <w:spacing w:after="0" w:line="240" w:lineRule="auto"/>
        <w:jc w:val="both"/>
        <w:rPr>
          <w:rFonts w:ascii="Arial" w:eastAsia="Arial" w:hAnsi="Arial" w:cs="Arial"/>
          <w:b/>
          <w:bCs/>
          <w:lang w:val="es"/>
        </w:rPr>
      </w:pPr>
      <w:r w:rsidRPr="00123D9E">
        <w:rPr>
          <w:rFonts w:ascii="Arial" w:eastAsia="Arial" w:hAnsi="Arial" w:cs="Arial"/>
          <w:lang w:val="es"/>
        </w:rPr>
        <w:t>De las excepciones propuestas se corrió traslado (</w:t>
      </w:r>
      <w:proofErr w:type="spellStart"/>
      <w:r w:rsidRPr="00123D9E">
        <w:rPr>
          <w:rFonts w:ascii="Arial" w:eastAsia="Arial" w:hAnsi="Arial" w:cs="Arial"/>
          <w:lang w:val="es"/>
        </w:rPr>
        <w:t>fl</w:t>
      </w:r>
      <w:proofErr w:type="spellEnd"/>
      <w:r w:rsidRPr="00123D9E">
        <w:rPr>
          <w:rFonts w:ascii="Arial" w:eastAsia="Arial" w:hAnsi="Arial" w:cs="Arial"/>
          <w:lang w:val="es"/>
        </w:rPr>
        <w:t xml:space="preserve">. 80), sin que se efectuara pronunciamiento alguno, por lo que, </w:t>
      </w:r>
      <w:r w:rsidRPr="00123D9E">
        <w:rPr>
          <w:rFonts w:ascii="Arial" w:eastAsia="Arial" w:hAnsi="Arial" w:cs="Arial"/>
          <w:lang w:val="es-ES"/>
        </w:rPr>
        <w:t>en este momento procesal, el Despacho debería resolver las excepciones previas y las de cosa juzgada, caducidad, transacción, conciliación, falta manifiesta de legitimación en la causa y prescripción extintiva</w:t>
      </w:r>
      <w:r w:rsidRPr="00123D9E">
        <w:rPr>
          <w:rFonts w:ascii="Arial" w:eastAsia="Arial" w:hAnsi="Arial" w:cs="Arial"/>
          <w:lang w:val="es"/>
        </w:rPr>
        <w:t>, sin embargo, los medios exceptivos propuestos únicamente son de fondo y en tal sentido, no hay lugar a resolverlos en este momento procesal.</w:t>
      </w:r>
    </w:p>
    <w:p w14:paraId="49B1A2B6" w14:textId="77777777" w:rsidR="003F5949" w:rsidRPr="003F5949" w:rsidRDefault="003F5949" w:rsidP="003F5949">
      <w:pPr>
        <w:pStyle w:val="Prrafodelista"/>
        <w:rPr>
          <w:rFonts w:ascii="Arial" w:eastAsia="Arial" w:hAnsi="Arial" w:cs="Arial"/>
          <w:b/>
          <w:bCs/>
          <w:lang w:val="es"/>
        </w:rPr>
      </w:pPr>
    </w:p>
    <w:p w14:paraId="24AF51FC" w14:textId="77777777" w:rsidR="003F5949" w:rsidRPr="003F5949" w:rsidRDefault="003F5949" w:rsidP="003F5949">
      <w:pPr>
        <w:pStyle w:val="Prrafodelista"/>
        <w:tabs>
          <w:tab w:val="left" w:pos="2334"/>
        </w:tabs>
        <w:spacing w:after="0" w:line="240" w:lineRule="auto"/>
        <w:jc w:val="both"/>
        <w:rPr>
          <w:rFonts w:ascii="Arial" w:eastAsia="Arial" w:hAnsi="Arial" w:cs="Arial"/>
          <w:b/>
          <w:bCs/>
          <w:lang w:val="es"/>
        </w:rPr>
      </w:pPr>
    </w:p>
    <w:p w14:paraId="392EBDC1" w14:textId="77777777" w:rsidR="003F5949" w:rsidRPr="00123D9E" w:rsidRDefault="003F5949" w:rsidP="003F5949">
      <w:pPr>
        <w:pStyle w:val="Prrafodelista"/>
        <w:numPr>
          <w:ilvl w:val="0"/>
          <w:numId w:val="18"/>
        </w:numPr>
        <w:tabs>
          <w:tab w:val="left" w:pos="2334"/>
        </w:tabs>
        <w:spacing w:after="0" w:line="240" w:lineRule="auto"/>
        <w:jc w:val="both"/>
        <w:rPr>
          <w:rFonts w:ascii="Arial" w:eastAsia="Arial" w:hAnsi="Arial" w:cs="Arial"/>
        </w:rPr>
      </w:pPr>
      <w:r w:rsidRPr="00123D9E">
        <w:rPr>
          <w:rFonts w:ascii="Arial" w:eastAsia="Arial" w:hAnsi="Arial" w:cs="Arial"/>
          <w:lang w:val="es-ES"/>
        </w:rPr>
        <w:t>De conformidad con lo normado por el artículo 180 del C.P.A.C.A. sería del caso fijar fecha para la realización de Audiencia Inicial, no obstante, en atención a lo dispuesto por el numeral 1° del artículo 182A de la Ley 1437 de 2011</w:t>
      </w:r>
      <w:r w:rsidRPr="00123D9E">
        <w:rPr>
          <w:rStyle w:val="Refdenotaalpie"/>
          <w:rFonts w:ascii="Arial" w:eastAsia="Arial" w:hAnsi="Arial" w:cs="Arial"/>
          <w:lang w:val="es-ES"/>
        </w:rPr>
        <w:footnoteReference w:id="1"/>
      </w:r>
      <w:r w:rsidRPr="00123D9E">
        <w:rPr>
          <w:rFonts w:ascii="Arial" w:eastAsia="Arial" w:hAnsi="Arial" w:cs="Arial"/>
          <w:lang w:val="es-ES"/>
        </w:rPr>
        <w:t>, el Juzgado advierte que se encuentran cumplidos los presupuestos para proferir sentencia anticipada, específicamente los indicados en el literal d) de dicha norma.</w:t>
      </w:r>
    </w:p>
    <w:p w14:paraId="51327758" w14:textId="77777777" w:rsidR="003F5949" w:rsidRPr="00123D9E" w:rsidRDefault="003F5949" w:rsidP="003F5949">
      <w:pPr>
        <w:tabs>
          <w:tab w:val="left" w:pos="2334"/>
        </w:tabs>
        <w:jc w:val="both"/>
        <w:rPr>
          <w:rFonts w:ascii="Arial" w:eastAsia="Arial" w:hAnsi="Arial" w:cs="Arial"/>
          <w:lang w:val="es-ES"/>
        </w:rPr>
      </w:pPr>
    </w:p>
    <w:p w14:paraId="181949D5" w14:textId="77777777" w:rsidR="003F5949" w:rsidRPr="00123D9E" w:rsidRDefault="003F5949" w:rsidP="003F5949">
      <w:pPr>
        <w:tabs>
          <w:tab w:val="left" w:pos="2334"/>
        </w:tabs>
        <w:jc w:val="both"/>
        <w:rPr>
          <w:rFonts w:ascii="Arial" w:eastAsia="Arial" w:hAnsi="Arial" w:cs="Arial"/>
          <w:lang w:val="es-ES"/>
        </w:rPr>
      </w:pPr>
      <w:r w:rsidRPr="00123D9E">
        <w:rPr>
          <w:rFonts w:ascii="Arial" w:eastAsia="Arial" w:hAnsi="Arial" w:cs="Arial"/>
          <w:lang w:val="es-ES"/>
        </w:rPr>
        <w:t>Pues bien, teniendo en cuenta lo antes expuesto y en cumplimiento de lo ordenado en el artículo 182A del C.P.A.C.A., el Despacho procederá a pronunciarse sobre las pruebas y a fijar el litigio, así:</w:t>
      </w:r>
    </w:p>
    <w:p w14:paraId="1D322235" w14:textId="77777777" w:rsidR="003F5949" w:rsidRPr="00123D9E" w:rsidRDefault="003F5949" w:rsidP="003F5949">
      <w:pPr>
        <w:tabs>
          <w:tab w:val="left" w:pos="2334"/>
        </w:tabs>
        <w:jc w:val="both"/>
        <w:rPr>
          <w:rFonts w:ascii="Arial" w:eastAsia="Arial" w:hAnsi="Arial" w:cs="Arial"/>
          <w:b/>
          <w:bCs/>
          <w:lang w:val="es-ES"/>
        </w:rPr>
      </w:pPr>
    </w:p>
    <w:p w14:paraId="27571D14" w14:textId="77777777" w:rsidR="003F5949" w:rsidRPr="00123D9E" w:rsidRDefault="003F5949" w:rsidP="003F5949">
      <w:pPr>
        <w:pStyle w:val="Prrafodelista"/>
        <w:numPr>
          <w:ilvl w:val="0"/>
          <w:numId w:val="17"/>
        </w:numPr>
        <w:tabs>
          <w:tab w:val="left" w:pos="2334"/>
        </w:tabs>
        <w:spacing w:after="0" w:line="240" w:lineRule="auto"/>
        <w:jc w:val="both"/>
        <w:rPr>
          <w:rFonts w:ascii="Arial" w:eastAsia="Arial" w:hAnsi="Arial" w:cs="Arial"/>
          <w:b/>
          <w:bCs/>
        </w:rPr>
      </w:pPr>
      <w:r w:rsidRPr="00123D9E">
        <w:rPr>
          <w:rFonts w:ascii="Arial" w:eastAsia="Arial" w:hAnsi="Arial" w:cs="Arial"/>
          <w:b/>
          <w:bCs/>
          <w:lang w:val="es-ES"/>
        </w:rPr>
        <w:t>EN CUANTO A LAS PRUEBAS</w:t>
      </w:r>
    </w:p>
    <w:p w14:paraId="5403493A"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highlight w:val="yellow"/>
          <w:lang w:val="es-ES"/>
        </w:rPr>
      </w:pPr>
    </w:p>
    <w:p w14:paraId="1D1D226B"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lang w:val="es-ES"/>
        </w:rPr>
      </w:pPr>
      <w:r w:rsidRPr="00123D9E">
        <w:rPr>
          <w:rFonts w:ascii="Arial" w:eastAsia="Arial" w:hAnsi="Arial" w:cs="Arial"/>
          <w:lang w:val="es-ES"/>
        </w:rPr>
        <w:t>En este punto, es claro que las partes solicitan tener como pruebas las aportadas con la demanda (</w:t>
      </w:r>
      <w:proofErr w:type="spellStart"/>
      <w:r w:rsidRPr="00123D9E">
        <w:rPr>
          <w:rFonts w:ascii="Arial" w:eastAsia="Arial" w:hAnsi="Arial" w:cs="Arial"/>
          <w:lang w:val="es-ES"/>
        </w:rPr>
        <w:t>fls</w:t>
      </w:r>
      <w:proofErr w:type="spellEnd"/>
      <w:r w:rsidRPr="00123D9E">
        <w:rPr>
          <w:rFonts w:ascii="Arial" w:eastAsia="Arial" w:hAnsi="Arial" w:cs="Arial"/>
          <w:lang w:val="es-ES"/>
        </w:rPr>
        <w:t xml:space="preserve">. 10, 11 y 72 vto.). </w:t>
      </w:r>
    </w:p>
    <w:p w14:paraId="01BE2F61"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lang w:val="es-ES"/>
        </w:rPr>
      </w:pPr>
    </w:p>
    <w:p w14:paraId="782C3ACE"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lang w:val="es-ES"/>
        </w:rPr>
      </w:pPr>
      <w:r w:rsidRPr="00123D9E">
        <w:rPr>
          <w:rFonts w:ascii="Arial" w:eastAsia="Arial" w:hAnsi="Arial" w:cs="Arial"/>
          <w:lang w:val="es-ES"/>
        </w:rPr>
        <w:t xml:space="preserve">Por otra parte, aunque la accionada pide que se requiera a la demandada para que allegue copia del expediente administrativo, dicha Entidad en su escrito de contestación señala que, la documental aportada con el libelo introductorio corresponde a los antecedentes administrativos, por lo que, no hay lugar a aportarlos nuevamente. </w:t>
      </w:r>
    </w:p>
    <w:p w14:paraId="53D8F53C"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lang w:val="es-ES"/>
        </w:rPr>
      </w:pPr>
    </w:p>
    <w:p w14:paraId="4544EE11"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lang w:val="es-ES"/>
        </w:rPr>
      </w:pPr>
      <w:r w:rsidRPr="00123D9E">
        <w:rPr>
          <w:rFonts w:ascii="Arial" w:eastAsia="Arial" w:hAnsi="Arial" w:cs="Arial"/>
          <w:lang w:val="es-ES"/>
        </w:rPr>
        <w:t>Así las cosas, el Despacho considera que las pruebas aportadas son suficientes para emitir un pronunciamiento de fondo, razón por la cual: *Le dará valor probatorio a las aportadas con la demanda; **No accederá a la solicitud probatoria elevada por la parte actora consistente en que se aporte copia del expediente administrativo, pues conforme a lo manifestado por la Entidad accionada dicha documental ya obra en las diligencias, por lo que, no resultaría útil requerirla; y,  ***no decretará ninguna prueba de oficio.</w:t>
      </w:r>
    </w:p>
    <w:p w14:paraId="006DD1E7" w14:textId="77777777" w:rsidR="003F5949" w:rsidRPr="00123D9E" w:rsidRDefault="003F5949" w:rsidP="003F5949">
      <w:pPr>
        <w:tabs>
          <w:tab w:val="left" w:pos="240"/>
          <w:tab w:val="left" w:pos="709"/>
        </w:tabs>
        <w:spacing w:before="20" w:after="20"/>
        <w:jc w:val="both"/>
        <w:rPr>
          <w:rFonts w:ascii="Arial" w:eastAsia="Arial" w:hAnsi="Arial" w:cs="Arial"/>
          <w:b/>
          <w:bCs/>
          <w:lang w:val="es-ES"/>
        </w:rPr>
      </w:pPr>
    </w:p>
    <w:p w14:paraId="101A4896" w14:textId="77777777" w:rsidR="003F5949" w:rsidRPr="00123D9E" w:rsidRDefault="003F5949" w:rsidP="003F5949">
      <w:pPr>
        <w:pStyle w:val="Prrafodelista"/>
        <w:numPr>
          <w:ilvl w:val="0"/>
          <w:numId w:val="17"/>
        </w:numPr>
        <w:tabs>
          <w:tab w:val="left" w:pos="240"/>
          <w:tab w:val="left" w:pos="709"/>
        </w:tabs>
        <w:overflowPunct w:val="0"/>
        <w:autoSpaceDE w:val="0"/>
        <w:autoSpaceDN w:val="0"/>
        <w:adjustRightInd w:val="0"/>
        <w:spacing w:before="20" w:after="20" w:line="240" w:lineRule="auto"/>
        <w:jc w:val="both"/>
        <w:textAlignment w:val="baseline"/>
        <w:rPr>
          <w:rFonts w:ascii="Arial" w:eastAsia="Arial" w:hAnsi="Arial" w:cs="Arial"/>
          <w:b/>
          <w:bCs/>
          <w:lang w:val="es-ES"/>
        </w:rPr>
      </w:pPr>
      <w:r w:rsidRPr="00123D9E">
        <w:rPr>
          <w:rFonts w:ascii="Arial" w:eastAsia="Arial" w:hAnsi="Arial" w:cs="Arial"/>
          <w:b/>
          <w:bCs/>
          <w:lang w:val="es-ES"/>
        </w:rPr>
        <w:t>FIJACIÓN DEL LITIGIO</w:t>
      </w:r>
    </w:p>
    <w:p w14:paraId="5B5F68C6"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lang w:val="es-ES"/>
        </w:rPr>
      </w:pPr>
    </w:p>
    <w:p w14:paraId="764367CE"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b/>
          <w:bCs/>
          <w:lang w:val="es-ES"/>
        </w:rPr>
      </w:pPr>
      <w:r w:rsidRPr="0055042C">
        <w:rPr>
          <w:rFonts w:ascii="Arial" w:eastAsia="Arial" w:hAnsi="Arial" w:cs="Arial"/>
          <w:b/>
          <w:lang w:val="es-ES"/>
        </w:rPr>
        <w:t>a</w:t>
      </w:r>
      <w:r w:rsidRPr="00123D9E">
        <w:rPr>
          <w:rFonts w:ascii="Arial" w:eastAsia="Arial" w:hAnsi="Arial" w:cs="Arial"/>
          <w:lang w:val="es-ES"/>
        </w:rPr>
        <w:t>. En primer lugar, se establecen las</w:t>
      </w:r>
      <w:r w:rsidRPr="00123D9E">
        <w:rPr>
          <w:rFonts w:ascii="Arial" w:eastAsia="Arial" w:hAnsi="Arial" w:cs="Arial"/>
          <w:b/>
          <w:bCs/>
          <w:lang w:val="es-ES"/>
        </w:rPr>
        <w:t xml:space="preserve"> </w:t>
      </w:r>
      <w:r w:rsidRPr="00123D9E">
        <w:rPr>
          <w:rFonts w:ascii="Arial" w:eastAsia="Arial" w:hAnsi="Arial" w:cs="Arial"/>
          <w:b/>
          <w:bCs/>
          <w:i/>
          <w:iCs/>
          <w:lang w:val="es-ES"/>
        </w:rPr>
        <w:t>pretensiones de la demanda</w:t>
      </w:r>
      <w:r w:rsidRPr="00123D9E">
        <w:rPr>
          <w:rFonts w:ascii="Arial" w:eastAsia="Arial" w:hAnsi="Arial" w:cs="Arial"/>
          <w:b/>
          <w:bCs/>
          <w:lang w:val="es-ES"/>
        </w:rPr>
        <w:t>:</w:t>
      </w:r>
    </w:p>
    <w:p w14:paraId="12F23357"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rPr>
      </w:pPr>
    </w:p>
    <w:p w14:paraId="70A83A7D"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“A. DECLARATIVAS </w:t>
      </w:r>
    </w:p>
    <w:p w14:paraId="00D8BBDC"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PRIMERA: Declarar la Nulidad del siguiente acto administrativo, mediante el cual la entidad pública demandada negó el reconocimiento liquidación y pago de la bonificación judicial como factor salarial: </w:t>
      </w:r>
    </w:p>
    <w:p w14:paraId="15AB9083" w14:textId="0E2109A1"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 DESAJTUO17 - 2906 del 10 de </w:t>
      </w:r>
      <w:proofErr w:type="gramStart"/>
      <w:r w:rsidRPr="00123D9E">
        <w:rPr>
          <w:rFonts w:ascii="Arial" w:hAnsi="Arial" w:cs="Arial"/>
          <w:i/>
          <w:iCs/>
        </w:rPr>
        <w:t>Noviembre</w:t>
      </w:r>
      <w:proofErr w:type="gramEnd"/>
      <w:r w:rsidRPr="00123D9E">
        <w:rPr>
          <w:rFonts w:ascii="Arial" w:hAnsi="Arial" w:cs="Arial"/>
          <w:i/>
          <w:iCs/>
        </w:rPr>
        <w:t xml:space="preserve"> de 2017 con el que se negaron los derechos prestacionales reclamados por </w:t>
      </w:r>
      <w:r>
        <w:rPr>
          <w:rFonts w:ascii="Arial" w:hAnsi="Arial" w:cs="Arial"/>
          <w:i/>
          <w:iCs/>
        </w:rPr>
        <w:t>MARIA PEREZ.</w:t>
      </w:r>
    </w:p>
    <w:p w14:paraId="71D39DCC"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SEGUNDA: Que se declare la ocurrencia del acto ficto, producto del silencio administrativo negativo que se originó como consecuencia de la omisión de la entidad pública accionada en resolver el recurso de apelación interpuesto en contra del acto administrativo que resolvió las peticiones, toda vez que a la fecha de presentación de la demanda aún no han sido resueltos, pese a que el mismo fue concedido mediante la siguiente resolución: </w:t>
      </w:r>
    </w:p>
    <w:p w14:paraId="5E5986E4" w14:textId="2965D359"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 Resolución No. 3472 del 29 de </w:t>
      </w:r>
      <w:proofErr w:type="gramStart"/>
      <w:r w:rsidRPr="00123D9E">
        <w:rPr>
          <w:rFonts w:ascii="Arial" w:hAnsi="Arial" w:cs="Arial"/>
          <w:i/>
          <w:iCs/>
        </w:rPr>
        <w:t>Diciembre</w:t>
      </w:r>
      <w:proofErr w:type="gramEnd"/>
      <w:r w:rsidRPr="00123D9E">
        <w:rPr>
          <w:rFonts w:ascii="Arial" w:hAnsi="Arial" w:cs="Arial"/>
          <w:i/>
          <w:iCs/>
        </w:rPr>
        <w:t xml:space="preserve"> de 2017, con la que se concedió el recurso de apelación interpuesto en contra de la decisión que negó el derecho prestacional reclamado por </w:t>
      </w:r>
      <w:r>
        <w:rPr>
          <w:rFonts w:ascii="Arial" w:hAnsi="Arial" w:cs="Arial"/>
          <w:i/>
          <w:iCs/>
        </w:rPr>
        <w:t>MARIA PEREZ.</w:t>
      </w:r>
    </w:p>
    <w:p w14:paraId="2B98D117"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TERCERA: Que se declare la nulidad del acto ficto negativo que en los términos del artículo 86 del C.P.A.C.A., nació a la vida jurídica como </w:t>
      </w:r>
      <w:r w:rsidRPr="00123D9E">
        <w:rPr>
          <w:rFonts w:ascii="Arial" w:hAnsi="Arial" w:cs="Arial"/>
          <w:i/>
          <w:iCs/>
        </w:rPr>
        <w:lastRenderedPageBreak/>
        <w:t>consecuencia de la omisión de la administración en resolver los recursos de apelación presentados en oportunidad.</w:t>
      </w:r>
    </w:p>
    <w:p w14:paraId="209A274A"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B. DE CONDENA </w:t>
      </w:r>
    </w:p>
    <w:p w14:paraId="54E203BE"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PRIMERA: Ordenar la inaplicación por inconstitucional de la expresión "constituirá únicamente factor salarial para la base de cotización al sistema general de pensiones y al sistema general de seguridad social en salud" contenida en el artículo 1° del Decreto 383 de 2013, igualmente </w:t>
      </w:r>
      <w:proofErr w:type="spellStart"/>
      <w:r w:rsidRPr="00123D9E">
        <w:rPr>
          <w:rFonts w:ascii="Arial" w:hAnsi="Arial" w:cs="Arial"/>
          <w:i/>
          <w:iCs/>
        </w:rPr>
        <w:t>inaplicar</w:t>
      </w:r>
      <w:proofErr w:type="spellEnd"/>
      <w:r w:rsidRPr="00123D9E">
        <w:rPr>
          <w:rFonts w:ascii="Arial" w:hAnsi="Arial" w:cs="Arial"/>
          <w:i/>
          <w:iCs/>
        </w:rPr>
        <w:t xml:space="preserve"> las expresiones " y constituye únicamente factor salarial para la base de cotización al sistema general de pensiones y al sistema general de seguridad social en salud," contenidas en el artículo primero de cada uno de los Decretos que modificaron el Decreto 383 de 2013 y por los años en que el Gobierno Nacional demoró cancelando la Bonificación Judicial y los que con posterioridad emitió en el mismo sentido.</w:t>
      </w:r>
    </w:p>
    <w:p w14:paraId="7DB68342"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SEGUNDA: Como consecuencia de las anteriores declaraciones y a título de Restablecimiento del Derecho, se ordene a LA NACIÓN - RAMA JUDICIAL - DIRECCIÓN EJECUTIVA DE ADMINISTRACIÓN JUDICIAL - DIRECCIÓN EJECUTIVA SECCIONAL DE ADMINISTRACIÓN JUDICIAL DE BOYACÁ, tener como factor salarial para todos los efectos legales, la bonificación judicial creada por el artículo 1° del Decreto 383 de 2013. </w:t>
      </w:r>
    </w:p>
    <w:p w14:paraId="5DD6891D" w14:textId="0C8EDDC0"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TERCERA: Ordenar la reliquidación y pago a la demandante: </w:t>
      </w:r>
      <w:r>
        <w:rPr>
          <w:rFonts w:ascii="Arial" w:hAnsi="Arial" w:cs="Arial"/>
          <w:i/>
          <w:iCs/>
        </w:rPr>
        <w:t>MARIA PEREZ</w:t>
      </w:r>
      <w:r w:rsidRPr="00123D9E">
        <w:rPr>
          <w:rFonts w:ascii="Arial" w:hAnsi="Arial" w:cs="Arial"/>
          <w:i/>
          <w:iCs/>
        </w:rPr>
        <w:t xml:space="preserve">, de manera retroactiva de las cesantías y demás prestaciones sociales y emolumentos devengados incluyendo la bonificación judicial como factor salarial a partir del 31 de octubre de 2014 y hasta cuando la demandante las haya causado de tal manera que la misma también sea considerada hacia el futuro como factor salarial al momento de liquidar sus prestaciones sociales. </w:t>
      </w:r>
    </w:p>
    <w:p w14:paraId="0A570D68"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CUARTA: Ordenar a la entidad pública accionada que las cantidades líquidas de dinero a que sea condenada a pagar a favor de la demandante, sean actualizadas mes a mes aplicando la variación del I.P.C. certificado por el DANE de conformidad con lo dispuesto por el artículo 178 del C.P.A.C.A. </w:t>
      </w:r>
    </w:p>
    <w:p w14:paraId="48AA0986"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 xml:space="preserve">QUINTA: Se condene a la entidad pública accionada a efectuar sobre las cantidades liquidas de dinero reconocidas a la demandante, la respectiva indexación hasta que el pago se haga efectivo. </w:t>
      </w:r>
    </w:p>
    <w:p w14:paraId="3E3C431B" w14:textId="77777777" w:rsidR="003F5949" w:rsidRPr="00123D9E" w:rsidRDefault="003F5949" w:rsidP="003F5949">
      <w:pPr>
        <w:spacing w:before="20" w:after="20"/>
        <w:ind w:left="708"/>
        <w:jc w:val="both"/>
        <w:rPr>
          <w:rFonts w:ascii="Arial" w:hAnsi="Arial" w:cs="Arial"/>
          <w:i/>
          <w:iCs/>
        </w:rPr>
      </w:pPr>
      <w:r w:rsidRPr="00123D9E">
        <w:rPr>
          <w:rFonts w:ascii="Arial" w:hAnsi="Arial" w:cs="Arial"/>
          <w:i/>
          <w:iCs/>
        </w:rPr>
        <w:t>SEXTA: Ordenar que la entidad pública accionada pague los intereses devengados, en los términos previstos en el artículo 192 del C.P.A.C.A. SEPTIMA: Condenar a la entidad pública accionada al pago de las costas y agencias en derecho que se causen con la presentación y trámite de la demanda.”</w:t>
      </w:r>
      <w:r w:rsidRPr="00123D9E">
        <w:rPr>
          <w:rFonts w:ascii="Arial" w:hAnsi="Arial" w:cs="Arial"/>
        </w:rPr>
        <w:t xml:space="preserve"> (</w:t>
      </w:r>
      <w:proofErr w:type="spellStart"/>
      <w:r w:rsidRPr="00123D9E">
        <w:rPr>
          <w:rFonts w:ascii="Arial" w:hAnsi="Arial" w:cs="Arial"/>
        </w:rPr>
        <w:t>fls</w:t>
      </w:r>
      <w:proofErr w:type="spellEnd"/>
      <w:r w:rsidRPr="00123D9E">
        <w:rPr>
          <w:rFonts w:ascii="Arial" w:hAnsi="Arial" w:cs="Arial"/>
        </w:rPr>
        <w:t>. 2 y 3 del ítem. 01).</w:t>
      </w:r>
    </w:p>
    <w:p w14:paraId="28E72C17"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b/>
          <w:bCs/>
          <w:highlight w:val="yellow"/>
          <w:lang w:val="es-ES"/>
        </w:rPr>
      </w:pPr>
    </w:p>
    <w:p w14:paraId="47933A8F"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b/>
          <w:bCs/>
          <w:lang w:val="es-ES"/>
        </w:rPr>
      </w:pPr>
      <w:r w:rsidRPr="00123D9E">
        <w:rPr>
          <w:rFonts w:ascii="Arial" w:eastAsia="Arial" w:hAnsi="Arial" w:cs="Arial"/>
          <w:lang w:val="es-ES"/>
        </w:rPr>
        <w:lastRenderedPageBreak/>
        <w:t xml:space="preserve">b. En segundo lugar, se señalan las siguientes </w:t>
      </w:r>
      <w:r w:rsidRPr="00123D9E">
        <w:rPr>
          <w:rFonts w:ascii="Arial" w:eastAsia="Arial" w:hAnsi="Arial" w:cs="Arial"/>
          <w:b/>
          <w:bCs/>
          <w:lang w:val="es-ES"/>
        </w:rPr>
        <w:t>situaciones fácticas respecto de las que no se hace necesario el debate probatorio pues ya están acreditadas en el proceso:</w:t>
      </w:r>
    </w:p>
    <w:p w14:paraId="763A4F5F"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highlight w:val="yellow"/>
          <w:lang w:val="es-ES"/>
        </w:rPr>
      </w:pPr>
    </w:p>
    <w:p w14:paraId="3603DE08" w14:textId="04950F07" w:rsidR="003F5949" w:rsidRPr="00123D9E" w:rsidRDefault="003F5949" w:rsidP="003F5949">
      <w:pPr>
        <w:numPr>
          <w:ilvl w:val="0"/>
          <w:numId w:val="19"/>
        </w:numPr>
        <w:tabs>
          <w:tab w:val="left" w:pos="240"/>
          <w:tab w:val="left" w:pos="709"/>
        </w:tabs>
        <w:overflowPunct w:val="0"/>
        <w:autoSpaceDE w:val="0"/>
        <w:autoSpaceDN w:val="0"/>
        <w:adjustRightInd w:val="0"/>
        <w:spacing w:before="20" w:after="20" w:line="240" w:lineRule="auto"/>
        <w:jc w:val="both"/>
        <w:textAlignment w:val="baseline"/>
        <w:rPr>
          <w:rFonts w:ascii="Arial" w:eastAsia="Arial" w:hAnsi="Arial" w:cs="Arial"/>
        </w:rPr>
      </w:pPr>
      <w:r w:rsidRPr="00123D9E">
        <w:rPr>
          <w:rFonts w:ascii="Arial" w:eastAsia="Arial" w:hAnsi="Arial" w:cs="Arial"/>
        </w:rPr>
        <w:t xml:space="preserve">La señora </w:t>
      </w:r>
      <w:r>
        <w:rPr>
          <w:rFonts w:ascii="Arial" w:eastAsia="Arial" w:hAnsi="Arial" w:cs="Arial"/>
        </w:rPr>
        <w:t xml:space="preserve">MARIA </w:t>
      </w:r>
      <w:proofErr w:type="gramStart"/>
      <w:r>
        <w:rPr>
          <w:rFonts w:ascii="Arial" w:eastAsia="Arial" w:hAnsi="Arial" w:cs="Arial"/>
        </w:rPr>
        <w:t xml:space="preserve">PEREZ </w:t>
      </w:r>
      <w:r w:rsidRPr="00123D9E">
        <w:rPr>
          <w:rFonts w:ascii="Arial" w:eastAsia="Arial" w:hAnsi="Arial" w:cs="Arial"/>
        </w:rPr>
        <w:t xml:space="preserve"> ha</w:t>
      </w:r>
      <w:proofErr w:type="gramEnd"/>
      <w:r w:rsidRPr="00123D9E">
        <w:rPr>
          <w:rFonts w:ascii="Arial" w:eastAsia="Arial" w:hAnsi="Arial" w:cs="Arial"/>
        </w:rPr>
        <w:t xml:space="preserve"> trabajado en la Rama Judicial desde antes de la entrada en vigencia del Decreto 383 de 2013 (folios 24 del ítem. 01).</w:t>
      </w:r>
      <w:r w:rsidRPr="00123D9E">
        <w:rPr>
          <w:rFonts w:ascii="Arial" w:hAnsi="Arial" w:cs="Arial"/>
        </w:rPr>
        <w:t xml:space="preserve"> </w:t>
      </w:r>
    </w:p>
    <w:p w14:paraId="4D69AFBF" w14:textId="77777777" w:rsidR="003F5949" w:rsidRPr="00123D9E" w:rsidRDefault="003F5949" w:rsidP="003F5949">
      <w:pPr>
        <w:numPr>
          <w:ilvl w:val="0"/>
          <w:numId w:val="19"/>
        </w:numPr>
        <w:tabs>
          <w:tab w:val="left" w:pos="240"/>
          <w:tab w:val="left" w:pos="709"/>
        </w:tabs>
        <w:overflowPunct w:val="0"/>
        <w:autoSpaceDE w:val="0"/>
        <w:autoSpaceDN w:val="0"/>
        <w:adjustRightInd w:val="0"/>
        <w:spacing w:before="20" w:after="20" w:line="240" w:lineRule="auto"/>
        <w:jc w:val="both"/>
        <w:textAlignment w:val="baseline"/>
        <w:rPr>
          <w:rFonts w:ascii="Arial" w:eastAsia="Arial" w:hAnsi="Arial" w:cs="Arial"/>
        </w:rPr>
      </w:pPr>
      <w:r w:rsidRPr="00123D9E">
        <w:rPr>
          <w:rFonts w:ascii="Arial" w:eastAsia="Arial" w:hAnsi="Arial" w:cs="Arial"/>
          <w:lang w:val="es-ES"/>
        </w:rPr>
        <w:t>La accionante, elevó derecho de petición de fecha 31 de octubre de 2017 ante la DIRECCIÓN EJECUTIVA SECCIONAL DE ADMINISTRACIÓN JUDICIAL DE TUNJA, solicitando la reliquidación de todas sus prestaciones causadas a partir del 1° de enero de 2013, con la inclusión de la bonificación judicial como factor salarial (</w:t>
      </w:r>
      <w:proofErr w:type="spellStart"/>
      <w:r w:rsidRPr="00123D9E">
        <w:rPr>
          <w:rFonts w:ascii="Arial" w:eastAsia="Arial" w:hAnsi="Arial" w:cs="Arial"/>
          <w:lang w:val="es-ES"/>
        </w:rPr>
        <w:t>fls</w:t>
      </w:r>
      <w:proofErr w:type="spellEnd"/>
      <w:r w:rsidRPr="00123D9E">
        <w:rPr>
          <w:rFonts w:ascii="Arial" w:eastAsia="Arial" w:hAnsi="Arial" w:cs="Arial"/>
          <w:lang w:val="es-ES"/>
        </w:rPr>
        <w:t>. 15 a 16 del ítem. 01).</w:t>
      </w:r>
    </w:p>
    <w:p w14:paraId="6A88203B" w14:textId="77777777" w:rsidR="003F5949" w:rsidRPr="00123D9E" w:rsidRDefault="003F5949" w:rsidP="003F5949">
      <w:pPr>
        <w:numPr>
          <w:ilvl w:val="0"/>
          <w:numId w:val="19"/>
        </w:numPr>
        <w:tabs>
          <w:tab w:val="left" w:pos="240"/>
          <w:tab w:val="left" w:pos="709"/>
        </w:tabs>
        <w:overflowPunct w:val="0"/>
        <w:autoSpaceDE w:val="0"/>
        <w:autoSpaceDN w:val="0"/>
        <w:adjustRightInd w:val="0"/>
        <w:spacing w:before="20" w:after="20" w:line="240" w:lineRule="auto"/>
        <w:jc w:val="both"/>
        <w:textAlignment w:val="baseline"/>
        <w:rPr>
          <w:rFonts w:ascii="Arial" w:eastAsia="Arial" w:hAnsi="Arial" w:cs="Arial"/>
        </w:rPr>
      </w:pPr>
      <w:r w:rsidRPr="00123D9E">
        <w:rPr>
          <w:rFonts w:ascii="Arial" w:eastAsia="Arial" w:hAnsi="Arial" w:cs="Arial"/>
          <w:lang w:val="es-ES"/>
        </w:rPr>
        <w:t xml:space="preserve">Mediante Oficio No. </w:t>
      </w:r>
      <w:r w:rsidRPr="00123D9E">
        <w:rPr>
          <w:rFonts w:ascii="Arial" w:hAnsi="Arial" w:cs="Arial"/>
          <w:lang w:val="es-ES_tradnl"/>
        </w:rPr>
        <w:t>DESAJTUO17-2906 del 10 de noviembre de 2017</w:t>
      </w:r>
      <w:r w:rsidRPr="00123D9E">
        <w:rPr>
          <w:rFonts w:ascii="Arial" w:eastAsia="Arial" w:hAnsi="Arial" w:cs="Arial"/>
          <w:lang w:val="es-ES"/>
        </w:rPr>
        <w:t>, proferido por la DIRECCIÓN EJECUTIVA SECCIONAL DE ADMINISTRACIÓN JUDICIAL DE TUNJA, se dio respuesta negativa a la solicitud a la que refiere el numeral anterior (</w:t>
      </w:r>
      <w:proofErr w:type="spellStart"/>
      <w:r w:rsidRPr="00123D9E">
        <w:rPr>
          <w:rFonts w:ascii="Arial" w:eastAsia="Arial" w:hAnsi="Arial" w:cs="Arial"/>
          <w:lang w:val="es-ES"/>
        </w:rPr>
        <w:t>fls</w:t>
      </w:r>
      <w:proofErr w:type="spellEnd"/>
      <w:r w:rsidRPr="00123D9E">
        <w:rPr>
          <w:rFonts w:ascii="Arial" w:eastAsia="Arial" w:hAnsi="Arial" w:cs="Arial"/>
          <w:lang w:val="es-ES"/>
        </w:rPr>
        <w:t>. 18 y 19 del ítem. 01).</w:t>
      </w:r>
    </w:p>
    <w:p w14:paraId="03495C37" w14:textId="77777777" w:rsidR="003F5949" w:rsidRPr="00123D9E" w:rsidRDefault="003F5949" w:rsidP="003F5949">
      <w:pPr>
        <w:numPr>
          <w:ilvl w:val="0"/>
          <w:numId w:val="19"/>
        </w:numPr>
        <w:tabs>
          <w:tab w:val="left" w:pos="240"/>
          <w:tab w:val="left" w:pos="709"/>
        </w:tabs>
        <w:overflowPunct w:val="0"/>
        <w:autoSpaceDE w:val="0"/>
        <w:autoSpaceDN w:val="0"/>
        <w:adjustRightInd w:val="0"/>
        <w:spacing w:before="20" w:after="20" w:line="240" w:lineRule="auto"/>
        <w:jc w:val="both"/>
        <w:textAlignment w:val="baseline"/>
        <w:rPr>
          <w:rFonts w:ascii="Arial" w:eastAsia="Arial" w:hAnsi="Arial" w:cs="Arial"/>
        </w:rPr>
      </w:pPr>
      <w:r w:rsidRPr="00123D9E">
        <w:rPr>
          <w:rFonts w:ascii="Arial" w:eastAsia="Arial" w:hAnsi="Arial" w:cs="Arial"/>
          <w:lang w:val="es-ES"/>
        </w:rPr>
        <w:t>Contra el antes citado acto administrativo se interpuso recurso de apelación (</w:t>
      </w:r>
      <w:proofErr w:type="spellStart"/>
      <w:r w:rsidRPr="00123D9E">
        <w:rPr>
          <w:rFonts w:ascii="Arial" w:eastAsia="Arial" w:hAnsi="Arial" w:cs="Arial"/>
          <w:lang w:val="es-ES"/>
        </w:rPr>
        <w:t>fls</w:t>
      </w:r>
      <w:proofErr w:type="spellEnd"/>
      <w:r w:rsidRPr="00123D9E">
        <w:rPr>
          <w:rFonts w:ascii="Arial" w:eastAsia="Arial" w:hAnsi="Arial" w:cs="Arial"/>
          <w:lang w:val="es-ES"/>
        </w:rPr>
        <w:t>. 21 y 22 del ítem. 01), concediéndose a través de la Resolución No. 3472 del 29 de diciembre de 2017 y ordenándose su envío al superior jerárquico (</w:t>
      </w:r>
      <w:proofErr w:type="spellStart"/>
      <w:r w:rsidRPr="00123D9E">
        <w:rPr>
          <w:rFonts w:ascii="Arial" w:eastAsia="Arial" w:hAnsi="Arial" w:cs="Arial"/>
          <w:lang w:val="es-ES"/>
        </w:rPr>
        <w:t>fl</w:t>
      </w:r>
      <w:proofErr w:type="spellEnd"/>
      <w:r w:rsidRPr="00123D9E">
        <w:rPr>
          <w:rFonts w:ascii="Arial" w:eastAsia="Arial" w:hAnsi="Arial" w:cs="Arial"/>
          <w:lang w:val="es-ES"/>
        </w:rPr>
        <w:t xml:space="preserve">. 23).  </w:t>
      </w:r>
    </w:p>
    <w:p w14:paraId="30636939" w14:textId="77777777" w:rsidR="003F5949" w:rsidRPr="00123D9E" w:rsidRDefault="003F5949" w:rsidP="003F5949">
      <w:pPr>
        <w:tabs>
          <w:tab w:val="left" w:pos="240"/>
          <w:tab w:val="left" w:pos="709"/>
        </w:tabs>
        <w:spacing w:before="20" w:after="20"/>
        <w:jc w:val="both"/>
        <w:rPr>
          <w:rFonts w:ascii="Arial" w:eastAsia="Arial" w:hAnsi="Arial" w:cs="Arial"/>
          <w:highlight w:val="yellow"/>
          <w:lang w:val="es-ES"/>
        </w:rPr>
      </w:pPr>
    </w:p>
    <w:p w14:paraId="70C86EDF" w14:textId="77777777" w:rsidR="003F5949" w:rsidRPr="00123D9E" w:rsidRDefault="003F5949" w:rsidP="003F5949">
      <w:pPr>
        <w:tabs>
          <w:tab w:val="left" w:pos="709"/>
        </w:tabs>
        <w:spacing w:before="20" w:after="20"/>
        <w:jc w:val="both"/>
        <w:rPr>
          <w:rFonts w:ascii="Arial" w:eastAsia="Arial" w:hAnsi="Arial" w:cs="Arial"/>
          <w:lang w:val="es-ES"/>
        </w:rPr>
      </w:pPr>
      <w:r w:rsidRPr="00123D9E">
        <w:rPr>
          <w:rFonts w:ascii="Arial" w:eastAsia="Arial" w:hAnsi="Arial" w:cs="Arial"/>
          <w:lang w:val="es-ES"/>
        </w:rPr>
        <w:t xml:space="preserve">Por otra parte, </w:t>
      </w:r>
      <w:r w:rsidRPr="00123D9E">
        <w:rPr>
          <w:rStyle w:val="normaltextrun"/>
          <w:rFonts w:ascii="Arial" w:hAnsi="Arial" w:cs="Arial"/>
          <w:color w:val="000000"/>
          <w:shd w:val="clear" w:color="auto" w:fill="FFFFFF"/>
          <w:lang w:val="es-ES"/>
        </w:rPr>
        <w:t>existe divergencia en la forma de interpretación de la ley 4 de 1992 y del artículo 1 del decreto 383 de 2013.</w:t>
      </w:r>
    </w:p>
    <w:p w14:paraId="54525693" w14:textId="77777777" w:rsidR="003F5949" w:rsidRPr="00123D9E" w:rsidRDefault="003F5949" w:rsidP="003F5949">
      <w:pPr>
        <w:tabs>
          <w:tab w:val="left" w:pos="240"/>
          <w:tab w:val="left" w:pos="709"/>
        </w:tabs>
        <w:spacing w:before="20" w:after="20"/>
        <w:jc w:val="both"/>
        <w:rPr>
          <w:rFonts w:ascii="Arial" w:eastAsia="Arial" w:hAnsi="Arial" w:cs="Arial"/>
          <w:highlight w:val="yellow"/>
          <w:lang w:val="es-ES"/>
        </w:rPr>
      </w:pPr>
    </w:p>
    <w:p w14:paraId="75D01F17"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b/>
          <w:bCs/>
          <w:lang w:val="es-ES"/>
        </w:rPr>
      </w:pPr>
      <w:r w:rsidRPr="00123D9E">
        <w:rPr>
          <w:rFonts w:ascii="Arial" w:eastAsia="Arial" w:hAnsi="Arial" w:cs="Arial"/>
          <w:b/>
          <w:bCs/>
          <w:lang w:val="es-ES"/>
        </w:rPr>
        <w:t xml:space="preserve">C. </w:t>
      </w:r>
      <w:r w:rsidRPr="00123D9E">
        <w:rPr>
          <w:rFonts w:ascii="Arial" w:eastAsia="Arial" w:hAnsi="Arial" w:cs="Arial"/>
          <w:lang w:val="es-ES"/>
        </w:rPr>
        <w:t>En tercer lugar, se establecen las</w:t>
      </w:r>
      <w:r w:rsidRPr="00123D9E">
        <w:rPr>
          <w:rFonts w:ascii="Arial" w:eastAsia="Arial" w:hAnsi="Arial" w:cs="Arial"/>
          <w:b/>
          <w:bCs/>
          <w:lang w:val="es-ES"/>
        </w:rPr>
        <w:t xml:space="preserve"> </w:t>
      </w:r>
      <w:r w:rsidRPr="00123D9E">
        <w:rPr>
          <w:rFonts w:ascii="Arial" w:eastAsia="Arial" w:hAnsi="Arial" w:cs="Arial"/>
          <w:b/>
          <w:bCs/>
          <w:i/>
          <w:iCs/>
          <w:lang w:val="es-ES"/>
        </w:rPr>
        <w:t>tesis de las partes</w:t>
      </w:r>
      <w:r w:rsidRPr="00123D9E">
        <w:rPr>
          <w:rFonts w:ascii="Arial" w:eastAsia="Arial" w:hAnsi="Arial" w:cs="Arial"/>
          <w:b/>
          <w:bCs/>
          <w:lang w:val="es-ES"/>
        </w:rPr>
        <w:t>:</w:t>
      </w:r>
    </w:p>
    <w:p w14:paraId="4C459F74"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highlight w:val="yellow"/>
          <w:lang w:val="es-ES"/>
        </w:rPr>
      </w:pPr>
    </w:p>
    <w:p w14:paraId="260306C6"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lang w:val="es-ES"/>
        </w:rPr>
      </w:pPr>
      <w:r w:rsidRPr="00123D9E">
        <w:rPr>
          <w:rFonts w:ascii="Arial" w:eastAsia="Arial" w:hAnsi="Arial" w:cs="Arial"/>
          <w:lang w:val="es-ES"/>
        </w:rPr>
        <w:t xml:space="preserve">Para fundamentar las pretensiones el </w:t>
      </w:r>
      <w:r w:rsidRPr="00123D9E">
        <w:rPr>
          <w:rFonts w:ascii="Arial" w:eastAsia="Arial" w:hAnsi="Arial" w:cs="Arial"/>
          <w:b/>
          <w:bCs/>
          <w:lang w:val="es-ES"/>
        </w:rPr>
        <w:t>Mandatario Judicial de la parte actora</w:t>
      </w:r>
      <w:r w:rsidRPr="00123D9E">
        <w:rPr>
          <w:rFonts w:ascii="Arial" w:eastAsia="Arial" w:hAnsi="Arial" w:cs="Arial"/>
          <w:lang w:val="es-ES"/>
        </w:rPr>
        <w:t xml:space="preserve"> que, los actos acusados desconocen los artículos 2, 13, 27, 53 y 150 de la Constitución Política, las Leyes 54 de 1962 y 4ª de 1992, así como, el artículo 127 del Código Sustantivo del Trabajo y el artículo 42 del Decreto 1042 de 1973, pues si bien es cierto que el Decreto 383 de 2013 creó una bonificación que constituiría factor salarial únicamente para la base de cotización al sistema general de pensiones y al sistema de seguridad social en salud, ello contraría lo dispuesto en la Constitución, el Régimen salarial y prestacional de la Rama Judicial y  los principios aplicables en materia laboral, pues en ningún caso pueden desmejorarse los salarios y prestaciones sociales, máxime cuando en el presente caso el demandante ha sido beneficiario de la bonificación judicial, devengándola mensualmente en contraprestación del trabajo que realizado, por lo que es constitutiva de salario (</w:t>
      </w:r>
      <w:proofErr w:type="spellStart"/>
      <w:r w:rsidRPr="00123D9E">
        <w:rPr>
          <w:rFonts w:ascii="Arial" w:eastAsia="Arial" w:hAnsi="Arial" w:cs="Arial"/>
          <w:lang w:val="es-ES"/>
        </w:rPr>
        <w:t>fls</w:t>
      </w:r>
      <w:proofErr w:type="spellEnd"/>
      <w:r w:rsidRPr="00123D9E">
        <w:rPr>
          <w:rFonts w:ascii="Arial" w:eastAsia="Arial" w:hAnsi="Arial" w:cs="Arial"/>
          <w:lang w:val="es-ES"/>
        </w:rPr>
        <w:t>. 5 a 8 del ítem 01).</w:t>
      </w:r>
    </w:p>
    <w:p w14:paraId="5D27A767"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highlight w:val="yellow"/>
          <w:lang w:val="es-ES"/>
        </w:rPr>
      </w:pPr>
    </w:p>
    <w:p w14:paraId="554E1393" w14:textId="77777777" w:rsidR="003F5949" w:rsidRPr="00123D9E" w:rsidRDefault="003F5949" w:rsidP="003F5949">
      <w:pPr>
        <w:spacing w:before="20" w:after="20"/>
        <w:jc w:val="both"/>
        <w:rPr>
          <w:rFonts w:ascii="Arial" w:hAnsi="Arial" w:cs="Arial"/>
        </w:rPr>
      </w:pPr>
      <w:r w:rsidRPr="00123D9E">
        <w:rPr>
          <w:rFonts w:ascii="Arial" w:eastAsia="Arial" w:hAnsi="Arial" w:cs="Arial"/>
          <w:lang w:val="es-ES"/>
        </w:rPr>
        <w:t xml:space="preserve">Por su parte el  </w:t>
      </w:r>
      <w:r w:rsidRPr="00123D9E">
        <w:rPr>
          <w:rFonts w:ascii="Arial" w:eastAsia="Arial" w:hAnsi="Arial" w:cs="Arial"/>
          <w:b/>
          <w:bCs/>
          <w:lang w:val="es-ES"/>
        </w:rPr>
        <w:t>Mandatario Judicial del Ente accionado</w:t>
      </w:r>
      <w:r w:rsidRPr="00123D9E">
        <w:rPr>
          <w:rFonts w:ascii="Arial" w:eastAsia="Arial" w:hAnsi="Arial" w:cs="Arial"/>
          <w:lang w:val="es-ES"/>
        </w:rPr>
        <w:t xml:space="preserve"> </w:t>
      </w:r>
      <w:r w:rsidRPr="00123D9E">
        <w:rPr>
          <w:rFonts w:ascii="Arial" w:hAnsi="Arial" w:cs="Arial"/>
        </w:rPr>
        <w:t xml:space="preserve">luego de citar las disposiciones legales que regulan lo concerniente al régimen salarial y prestacional que cobijan a la Rama Judicial, indica que el Gobierno Nacional es el único facultado para tomar determinaciones frente a dichas asignaciones, por lo que, en el presente caso no puede perderse de vista que el Decreto 383 de </w:t>
      </w:r>
      <w:r w:rsidRPr="00123D9E">
        <w:rPr>
          <w:rFonts w:ascii="Arial" w:hAnsi="Arial" w:cs="Arial"/>
        </w:rPr>
        <w:lastRenderedPageBreak/>
        <w:t>2013, estableció que la bonificación es factor salarial únicamente para efectos de constituir la base de cotización al Sistema General de Pen</w:t>
      </w:r>
      <w:r>
        <w:rPr>
          <w:rFonts w:ascii="Arial" w:hAnsi="Arial" w:cs="Arial"/>
        </w:rPr>
        <w:t>s</w:t>
      </w:r>
      <w:r w:rsidRPr="00123D9E">
        <w:rPr>
          <w:rFonts w:ascii="Arial" w:hAnsi="Arial" w:cs="Arial"/>
        </w:rPr>
        <w:t>iones y al Sistema General de Seguridad Social en Salud. En tal sentido, concluye que la administración judicial ha venido aplicando correctamente el contenido de las citadas prescripciones legales por lo que no resulta procedente acceder a las pretensiones de la demanda (</w:t>
      </w:r>
      <w:proofErr w:type="spellStart"/>
      <w:r w:rsidRPr="00123D9E">
        <w:rPr>
          <w:rFonts w:ascii="Arial" w:hAnsi="Arial" w:cs="Arial"/>
        </w:rPr>
        <w:t>fls</w:t>
      </w:r>
      <w:proofErr w:type="spellEnd"/>
      <w:r w:rsidRPr="00123D9E">
        <w:rPr>
          <w:rFonts w:ascii="Arial" w:hAnsi="Arial" w:cs="Arial"/>
        </w:rPr>
        <w:t>. 70 a 72 del ítem. 01).</w:t>
      </w:r>
    </w:p>
    <w:p w14:paraId="2F51E397"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highlight w:val="yellow"/>
          <w:lang w:val="es-ES"/>
        </w:rPr>
      </w:pPr>
    </w:p>
    <w:p w14:paraId="7394F4FD"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b/>
          <w:bCs/>
          <w:lang w:val="es-ES"/>
        </w:rPr>
      </w:pPr>
      <w:r w:rsidRPr="00123D9E">
        <w:rPr>
          <w:rFonts w:ascii="Arial" w:eastAsia="Arial" w:hAnsi="Arial" w:cs="Arial"/>
          <w:b/>
          <w:bCs/>
          <w:lang w:val="es-ES"/>
        </w:rPr>
        <w:t xml:space="preserve">d.  Finalmente se fija el </w:t>
      </w:r>
      <w:r w:rsidRPr="00123D9E">
        <w:rPr>
          <w:rFonts w:ascii="Arial" w:eastAsia="Arial" w:hAnsi="Arial" w:cs="Arial"/>
          <w:b/>
          <w:bCs/>
          <w:i/>
          <w:iCs/>
          <w:lang w:val="es-ES"/>
        </w:rPr>
        <w:t>problema jurídico</w:t>
      </w:r>
      <w:r w:rsidRPr="00123D9E">
        <w:rPr>
          <w:rFonts w:ascii="Arial" w:eastAsia="Arial" w:hAnsi="Arial" w:cs="Arial"/>
          <w:b/>
          <w:bCs/>
          <w:lang w:val="es-ES"/>
        </w:rPr>
        <w:t xml:space="preserve"> a resolver:</w:t>
      </w:r>
    </w:p>
    <w:p w14:paraId="348785A6"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highlight w:val="yellow"/>
          <w:lang w:val="es-ES"/>
        </w:rPr>
      </w:pPr>
    </w:p>
    <w:p w14:paraId="30E68F15" w14:textId="6C333B11" w:rsidR="003F5949" w:rsidRPr="003F5949" w:rsidRDefault="003F5949" w:rsidP="003F5949">
      <w:pPr>
        <w:jc w:val="both"/>
        <w:rPr>
          <w:rFonts w:ascii="Arial" w:hAnsi="Arial" w:cs="Arial"/>
        </w:rPr>
      </w:pPr>
      <w:r w:rsidRPr="00123D9E">
        <w:rPr>
          <w:rFonts w:ascii="Arial" w:hAnsi="Arial" w:cs="Arial"/>
          <w:i/>
          <w:iCs/>
          <w:lang w:val="es-ES"/>
        </w:rPr>
        <w:t>¿Es nulo el acto administrativo que niega el reconocimiento y pago de las diferencias salariales y prestacionales que presuntamente se causaron por la Ley 4ª. de 1992 y el artículo 1</w:t>
      </w:r>
      <w:r>
        <w:rPr>
          <w:rFonts w:ascii="Arial" w:hAnsi="Arial" w:cs="Arial"/>
          <w:i/>
          <w:iCs/>
          <w:lang w:val="es-ES"/>
        </w:rPr>
        <w:t>°</w:t>
      </w:r>
      <w:r w:rsidRPr="00123D9E">
        <w:rPr>
          <w:rFonts w:ascii="Arial" w:hAnsi="Arial" w:cs="Arial"/>
          <w:i/>
          <w:iCs/>
          <w:lang w:val="es-ES"/>
        </w:rPr>
        <w:t xml:space="preserve"> del decreto 383 de 2013, que creó para los funcionarios judiciales la bonificación judicial?</w:t>
      </w:r>
      <w:r w:rsidRPr="00123D9E">
        <w:rPr>
          <w:rFonts w:ascii="Arial" w:hAnsi="Arial" w:cs="Arial"/>
        </w:rPr>
        <w:t> </w:t>
      </w:r>
    </w:p>
    <w:p w14:paraId="180BF82A" w14:textId="77777777" w:rsidR="003F5949" w:rsidRPr="00123D9E" w:rsidRDefault="003F5949" w:rsidP="003F5949">
      <w:pPr>
        <w:tabs>
          <w:tab w:val="left" w:pos="240"/>
          <w:tab w:val="left" w:pos="709"/>
        </w:tabs>
        <w:overflowPunct w:val="0"/>
        <w:autoSpaceDE w:val="0"/>
        <w:autoSpaceDN w:val="0"/>
        <w:adjustRightInd w:val="0"/>
        <w:spacing w:before="20" w:after="20"/>
        <w:jc w:val="both"/>
        <w:textAlignment w:val="baseline"/>
        <w:rPr>
          <w:rFonts w:ascii="Arial" w:eastAsia="Arial" w:hAnsi="Arial" w:cs="Arial"/>
          <w:lang w:val="es-ES"/>
        </w:rPr>
      </w:pPr>
    </w:p>
    <w:p w14:paraId="1E3C2D70" w14:textId="77777777" w:rsidR="003F5949" w:rsidRPr="00123D9E" w:rsidRDefault="003F5949" w:rsidP="003F5949">
      <w:pPr>
        <w:pStyle w:val="Prrafodelista"/>
        <w:numPr>
          <w:ilvl w:val="0"/>
          <w:numId w:val="17"/>
        </w:numPr>
        <w:tabs>
          <w:tab w:val="left" w:pos="240"/>
          <w:tab w:val="left" w:pos="709"/>
        </w:tabs>
        <w:spacing w:before="20" w:after="20" w:line="240" w:lineRule="auto"/>
        <w:jc w:val="both"/>
        <w:rPr>
          <w:rFonts w:ascii="Arial" w:eastAsia="Arial" w:hAnsi="Arial" w:cs="Arial"/>
          <w:b/>
          <w:bCs/>
          <w:lang w:val="es-ES"/>
        </w:rPr>
      </w:pPr>
      <w:r w:rsidRPr="00123D9E">
        <w:rPr>
          <w:rFonts w:ascii="Arial" w:eastAsia="Arial" w:hAnsi="Arial" w:cs="Arial"/>
          <w:b/>
          <w:bCs/>
          <w:lang w:val="es-ES"/>
        </w:rPr>
        <w:t>RESUELVE.</w:t>
      </w:r>
    </w:p>
    <w:p w14:paraId="05A7F4C9" w14:textId="77777777" w:rsidR="003F5949" w:rsidRPr="00123D9E" w:rsidRDefault="003F5949" w:rsidP="003F5949">
      <w:pPr>
        <w:tabs>
          <w:tab w:val="left" w:pos="240"/>
          <w:tab w:val="left" w:pos="709"/>
        </w:tabs>
        <w:spacing w:before="20" w:after="20"/>
        <w:jc w:val="both"/>
        <w:rPr>
          <w:rFonts w:ascii="Arial" w:eastAsia="Arial" w:hAnsi="Arial" w:cs="Arial"/>
          <w:highlight w:val="yellow"/>
          <w:lang w:val="es-ES"/>
        </w:rPr>
      </w:pPr>
    </w:p>
    <w:p w14:paraId="5C8041B4" w14:textId="4D161B3F" w:rsidR="003F5949" w:rsidRDefault="003F5949" w:rsidP="003F5949">
      <w:pPr>
        <w:tabs>
          <w:tab w:val="left" w:pos="2334"/>
        </w:tabs>
        <w:spacing w:before="20" w:after="20"/>
        <w:jc w:val="both"/>
        <w:rPr>
          <w:rFonts w:ascii="Arial" w:eastAsia="Arial" w:hAnsi="Arial" w:cs="Arial"/>
          <w:b/>
          <w:bCs/>
          <w:lang w:val="es-ES"/>
        </w:rPr>
      </w:pPr>
      <w:r w:rsidRPr="00123D9E">
        <w:rPr>
          <w:rFonts w:ascii="Arial" w:eastAsia="Arial" w:hAnsi="Arial" w:cs="Arial"/>
          <w:b/>
          <w:bCs/>
          <w:lang w:val="es-ES"/>
        </w:rPr>
        <w:t xml:space="preserve">En consecuencia, el Juzgado dispone:  </w:t>
      </w:r>
    </w:p>
    <w:p w14:paraId="64201B72" w14:textId="77777777" w:rsidR="003F5949" w:rsidRPr="00123D9E" w:rsidRDefault="003F5949" w:rsidP="003F5949">
      <w:pPr>
        <w:tabs>
          <w:tab w:val="left" w:pos="2334"/>
        </w:tabs>
        <w:spacing w:before="20" w:after="20"/>
        <w:jc w:val="both"/>
        <w:rPr>
          <w:rFonts w:ascii="Arial" w:eastAsia="Arial" w:hAnsi="Arial" w:cs="Arial"/>
          <w:b/>
          <w:bCs/>
          <w:lang w:val="es-ES"/>
        </w:rPr>
      </w:pPr>
    </w:p>
    <w:p w14:paraId="3F656F68" w14:textId="6C569763" w:rsidR="003F5949" w:rsidRPr="00123D9E" w:rsidRDefault="003F5949" w:rsidP="003F5949">
      <w:pPr>
        <w:tabs>
          <w:tab w:val="left" w:pos="2334"/>
        </w:tabs>
        <w:jc w:val="both"/>
        <w:rPr>
          <w:rFonts w:ascii="Arial" w:eastAsia="Arial" w:hAnsi="Arial" w:cs="Arial"/>
          <w:lang w:val="es-ES"/>
        </w:rPr>
      </w:pPr>
      <w:r>
        <w:rPr>
          <w:rFonts w:ascii="Arial" w:eastAsia="Arial" w:hAnsi="Arial" w:cs="Arial"/>
          <w:b/>
          <w:bCs/>
          <w:lang w:val="es-ES"/>
        </w:rPr>
        <w:t>PRIMERO</w:t>
      </w:r>
      <w:r w:rsidRPr="00123D9E">
        <w:rPr>
          <w:rFonts w:ascii="Arial" w:eastAsia="Arial" w:hAnsi="Arial" w:cs="Arial"/>
          <w:b/>
          <w:bCs/>
          <w:lang w:val="es-ES"/>
        </w:rPr>
        <w:t>:</w:t>
      </w:r>
      <w:r w:rsidRPr="00123D9E">
        <w:rPr>
          <w:rFonts w:ascii="Arial" w:eastAsia="Arial" w:hAnsi="Arial" w:cs="Arial"/>
          <w:lang w:val="es-ES"/>
        </w:rPr>
        <w:t xml:space="preserve"> </w:t>
      </w:r>
      <w:bookmarkStart w:id="1" w:name="_Hlk68509629"/>
      <w:r w:rsidRPr="00123D9E">
        <w:rPr>
          <w:rFonts w:ascii="Arial" w:eastAsia="Arial" w:hAnsi="Arial" w:cs="Arial"/>
          <w:b/>
          <w:bCs/>
          <w:lang w:val="es-ES"/>
        </w:rPr>
        <w:t xml:space="preserve"> </w:t>
      </w:r>
      <w:bookmarkEnd w:id="1"/>
      <w:r w:rsidRPr="00123D9E">
        <w:rPr>
          <w:rFonts w:ascii="Arial" w:eastAsia="Arial" w:hAnsi="Arial" w:cs="Arial"/>
          <w:b/>
          <w:bCs/>
          <w:lang w:val="es-ES"/>
        </w:rPr>
        <w:t xml:space="preserve">DECLARAR </w:t>
      </w:r>
      <w:r w:rsidRPr="00123D9E">
        <w:rPr>
          <w:rFonts w:ascii="Arial" w:eastAsia="Arial" w:hAnsi="Arial" w:cs="Arial"/>
          <w:lang w:val="es-ES"/>
        </w:rPr>
        <w:t>que se encuentran cumplidos los presupuestos para proferir sentencia anticipada señalados en el literal d) del artículo 182A de la Ley 1437 de 2011.</w:t>
      </w:r>
    </w:p>
    <w:p w14:paraId="316FBA87" w14:textId="77777777" w:rsidR="003F5949" w:rsidRPr="00123D9E" w:rsidRDefault="003F5949" w:rsidP="003F5949">
      <w:pPr>
        <w:tabs>
          <w:tab w:val="left" w:pos="2334"/>
        </w:tabs>
        <w:jc w:val="both"/>
        <w:rPr>
          <w:b/>
          <w:bCs/>
          <w:lang w:val="es-ES"/>
        </w:rPr>
      </w:pPr>
    </w:p>
    <w:p w14:paraId="2653AD67" w14:textId="3D2EEA75" w:rsidR="003F5949" w:rsidRPr="00123D9E" w:rsidRDefault="003F5949" w:rsidP="003F5949">
      <w:pPr>
        <w:tabs>
          <w:tab w:val="left" w:pos="2334"/>
        </w:tabs>
        <w:jc w:val="both"/>
        <w:rPr>
          <w:rFonts w:ascii="Arial" w:eastAsia="Arial" w:hAnsi="Arial" w:cs="Arial"/>
          <w:lang w:val="es-ES"/>
        </w:rPr>
      </w:pPr>
      <w:bookmarkStart w:id="2" w:name="_Hlk68509636"/>
      <w:r>
        <w:rPr>
          <w:rFonts w:ascii="Arial" w:eastAsia="Arial" w:hAnsi="Arial" w:cs="Arial"/>
          <w:b/>
          <w:bCs/>
          <w:lang w:val="es-ES"/>
        </w:rPr>
        <w:t>SEGUNDO</w:t>
      </w:r>
      <w:r w:rsidRPr="00123D9E">
        <w:rPr>
          <w:rFonts w:ascii="Arial" w:eastAsia="Arial" w:hAnsi="Arial" w:cs="Arial"/>
          <w:b/>
          <w:bCs/>
          <w:lang w:val="es-ES"/>
        </w:rPr>
        <w:t>:</w:t>
      </w:r>
      <w:bookmarkEnd w:id="2"/>
      <w:r w:rsidRPr="00123D9E">
        <w:rPr>
          <w:rFonts w:ascii="Arial" w:eastAsia="Arial" w:hAnsi="Arial" w:cs="Arial"/>
          <w:b/>
          <w:bCs/>
          <w:lang w:val="es-ES"/>
        </w:rPr>
        <w:t xml:space="preserve"> DECRETAR COMO PRUEBAS</w:t>
      </w:r>
      <w:r w:rsidRPr="00123D9E">
        <w:rPr>
          <w:rFonts w:ascii="Arial" w:eastAsia="Arial" w:hAnsi="Arial" w:cs="Arial"/>
          <w:lang w:val="es-ES"/>
        </w:rPr>
        <w:t xml:space="preserve"> dentro del presente proceso, las siguientes:</w:t>
      </w:r>
    </w:p>
    <w:p w14:paraId="73301285" w14:textId="77777777" w:rsidR="003F5949" w:rsidRPr="00123D9E" w:rsidRDefault="003F5949" w:rsidP="003F5949">
      <w:pPr>
        <w:tabs>
          <w:tab w:val="left" w:pos="2334"/>
        </w:tabs>
        <w:jc w:val="both"/>
        <w:rPr>
          <w:rFonts w:ascii="Arial" w:eastAsia="Arial" w:hAnsi="Arial" w:cs="Arial"/>
          <w:lang w:val="es-ES"/>
        </w:rPr>
      </w:pPr>
    </w:p>
    <w:p w14:paraId="16436ACF" w14:textId="3194759E" w:rsidR="003F5949" w:rsidRPr="00123D9E" w:rsidRDefault="003F5949" w:rsidP="003F5949">
      <w:pPr>
        <w:pStyle w:val="Prrafodelista"/>
        <w:numPr>
          <w:ilvl w:val="0"/>
          <w:numId w:val="20"/>
        </w:numPr>
        <w:tabs>
          <w:tab w:val="left" w:pos="2334"/>
        </w:tabs>
        <w:spacing w:after="0" w:line="240" w:lineRule="auto"/>
        <w:jc w:val="both"/>
        <w:rPr>
          <w:rFonts w:ascii="Arial" w:eastAsia="Arial" w:hAnsi="Arial" w:cs="Arial"/>
          <w:b/>
          <w:bCs/>
          <w:u w:val="single"/>
        </w:rPr>
      </w:pPr>
      <w:r>
        <w:rPr>
          <w:rFonts w:ascii="Arial" w:eastAsia="Arial" w:hAnsi="Arial" w:cs="Arial"/>
          <w:b/>
          <w:bCs/>
          <w:u w:val="single"/>
          <w:lang w:val="es-ES"/>
        </w:rPr>
        <w:t xml:space="preserve">A FAVOR </w:t>
      </w:r>
      <w:r w:rsidRPr="00123D9E">
        <w:rPr>
          <w:rFonts w:ascii="Arial" w:eastAsia="Arial" w:hAnsi="Arial" w:cs="Arial"/>
          <w:b/>
          <w:bCs/>
          <w:u w:val="single"/>
          <w:lang w:val="es-ES"/>
        </w:rPr>
        <w:t>DE LA PARTE ACTORA:</w:t>
      </w:r>
      <w:r w:rsidRPr="00123D9E">
        <w:rPr>
          <w:rFonts w:ascii="Arial" w:eastAsia="Arial" w:hAnsi="Arial" w:cs="Arial"/>
          <w:b/>
          <w:bCs/>
          <w:lang w:val="es-ES"/>
        </w:rPr>
        <w:t xml:space="preserve"> </w:t>
      </w:r>
      <w:r w:rsidRPr="00123D9E">
        <w:rPr>
          <w:rFonts w:ascii="Arial" w:eastAsia="Arial" w:hAnsi="Arial" w:cs="Arial"/>
          <w:lang w:val="es-ES"/>
        </w:rPr>
        <w:t>Con el valor probatorio que la ley le confiere y por cumplir con los requisitos previstos por el artículo 247 del C.G.P., aplicable por remisión del artículo 211 de la Ley 1437 de 2011, se tienen como pruebas de carácter documental las allegadas por la parte actora que obran a folios 15 a 35 del expediente digitalizado.</w:t>
      </w:r>
    </w:p>
    <w:p w14:paraId="33654FA8" w14:textId="77777777" w:rsidR="003F5949" w:rsidRPr="00123D9E" w:rsidRDefault="003F5949" w:rsidP="003F5949">
      <w:pPr>
        <w:widowControl w:val="0"/>
        <w:autoSpaceDE w:val="0"/>
        <w:autoSpaceDN w:val="0"/>
        <w:adjustRightInd w:val="0"/>
        <w:spacing w:before="20" w:after="20"/>
        <w:jc w:val="both"/>
        <w:rPr>
          <w:rFonts w:ascii="Arial" w:eastAsia="Arial" w:hAnsi="Arial" w:cs="Arial"/>
          <w:lang w:val="es-ES"/>
        </w:rPr>
      </w:pPr>
    </w:p>
    <w:p w14:paraId="50ADAC4F" w14:textId="123452BB" w:rsidR="003F5949" w:rsidRPr="00123D9E" w:rsidRDefault="003F5949" w:rsidP="003F5949">
      <w:pPr>
        <w:pStyle w:val="Prrafodelista"/>
        <w:numPr>
          <w:ilvl w:val="0"/>
          <w:numId w:val="20"/>
        </w:numPr>
        <w:tabs>
          <w:tab w:val="left" w:pos="2334"/>
        </w:tabs>
        <w:spacing w:after="0" w:line="240" w:lineRule="auto"/>
        <w:jc w:val="both"/>
        <w:rPr>
          <w:rFonts w:ascii="Arial" w:eastAsia="Arial" w:hAnsi="Arial" w:cs="Arial"/>
          <w:b/>
          <w:bCs/>
          <w:u w:val="single"/>
        </w:rPr>
      </w:pPr>
      <w:r w:rsidRPr="00123D9E">
        <w:rPr>
          <w:rFonts w:ascii="Arial" w:eastAsia="Arial" w:hAnsi="Arial" w:cs="Arial"/>
          <w:b/>
          <w:bCs/>
          <w:u w:val="single"/>
          <w:lang w:val="es-ES"/>
        </w:rPr>
        <w:t>LA ENTIDAD DEMANDADA:</w:t>
      </w:r>
      <w:r w:rsidRPr="00123D9E">
        <w:rPr>
          <w:rFonts w:ascii="Arial" w:eastAsia="Arial" w:hAnsi="Arial" w:cs="Arial"/>
          <w:b/>
          <w:bCs/>
          <w:lang w:val="es-ES"/>
        </w:rPr>
        <w:t xml:space="preserve"> </w:t>
      </w:r>
      <w:r w:rsidRPr="00123D9E">
        <w:rPr>
          <w:rFonts w:ascii="Arial" w:eastAsia="Arial" w:hAnsi="Arial" w:cs="Arial"/>
          <w:lang w:val="es-ES"/>
        </w:rPr>
        <w:t>Sin pruebas por decretar como quiera que únicamente solicitó se le diera valor probatorio a las aportadas por la parte demandante.</w:t>
      </w:r>
    </w:p>
    <w:p w14:paraId="31B82918" w14:textId="77777777" w:rsidR="003F5949" w:rsidRPr="00123D9E" w:rsidRDefault="003F5949" w:rsidP="003F5949">
      <w:pPr>
        <w:tabs>
          <w:tab w:val="left" w:pos="2334"/>
        </w:tabs>
        <w:jc w:val="both"/>
        <w:rPr>
          <w:rFonts w:ascii="Arial" w:eastAsia="Arial" w:hAnsi="Arial" w:cs="Arial"/>
          <w:b/>
          <w:bCs/>
          <w:u w:val="single"/>
        </w:rPr>
      </w:pPr>
    </w:p>
    <w:p w14:paraId="010D41C2" w14:textId="77777777" w:rsidR="003F5949" w:rsidRPr="00123D9E" w:rsidRDefault="003F5949" w:rsidP="003F5949">
      <w:pPr>
        <w:tabs>
          <w:tab w:val="left" w:pos="2334"/>
        </w:tabs>
        <w:jc w:val="both"/>
        <w:rPr>
          <w:rFonts w:ascii="Arial" w:eastAsia="Arial" w:hAnsi="Arial" w:cs="Arial"/>
          <w:b/>
          <w:bCs/>
          <w:lang w:val="es-ES"/>
        </w:rPr>
      </w:pPr>
      <w:r w:rsidRPr="00123D9E">
        <w:rPr>
          <w:rFonts w:ascii="Arial" w:eastAsia="Arial" w:hAnsi="Arial" w:cs="Arial"/>
          <w:b/>
          <w:bCs/>
          <w:lang w:val="es-ES"/>
        </w:rPr>
        <w:t xml:space="preserve">CUARTO: </w:t>
      </w:r>
      <w:r w:rsidRPr="00123D9E">
        <w:rPr>
          <w:rFonts w:ascii="Arial" w:hAnsi="Arial" w:cs="Arial"/>
          <w:b/>
          <w:bCs/>
        </w:rPr>
        <w:t>RECHAZAR</w:t>
      </w:r>
      <w:r w:rsidRPr="00123D9E">
        <w:rPr>
          <w:rFonts w:ascii="Arial" w:hAnsi="Arial" w:cs="Arial"/>
        </w:rPr>
        <w:t xml:space="preserve"> </w:t>
      </w:r>
      <w:r w:rsidRPr="00123D9E">
        <w:rPr>
          <w:rFonts w:ascii="Arial" w:eastAsia="Arial" w:hAnsi="Arial" w:cs="Arial"/>
          <w:b/>
          <w:bCs/>
          <w:lang w:val="es-ES"/>
        </w:rPr>
        <w:t xml:space="preserve">LA SOLICITUD PROBATORIA </w:t>
      </w:r>
      <w:r w:rsidRPr="00123D9E">
        <w:rPr>
          <w:rFonts w:ascii="Arial" w:eastAsia="Arial" w:hAnsi="Arial" w:cs="Arial"/>
          <w:lang w:val="es-ES"/>
        </w:rPr>
        <w:t>elevada por la parte actora y</w:t>
      </w:r>
      <w:r w:rsidRPr="00123D9E">
        <w:rPr>
          <w:rFonts w:ascii="Arial" w:eastAsia="Arial" w:hAnsi="Arial" w:cs="Arial"/>
          <w:b/>
          <w:bCs/>
          <w:lang w:val="es-ES"/>
        </w:rPr>
        <w:t xml:space="preserve"> </w:t>
      </w:r>
      <w:r w:rsidRPr="00123D9E">
        <w:rPr>
          <w:rFonts w:ascii="Arial" w:eastAsia="Arial" w:hAnsi="Arial" w:cs="Arial"/>
          <w:lang w:val="es-ES"/>
        </w:rPr>
        <w:t xml:space="preserve">consistente en requerir el expediente administrativo, por las razones anteriormente expuestas. </w:t>
      </w:r>
    </w:p>
    <w:p w14:paraId="74A06041" w14:textId="77777777" w:rsidR="003F5949" w:rsidRPr="00123D9E" w:rsidRDefault="003F5949" w:rsidP="003F5949">
      <w:pPr>
        <w:tabs>
          <w:tab w:val="left" w:pos="2334"/>
        </w:tabs>
        <w:jc w:val="both"/>
        <w:rPr>
          <w:rFonts w:ascii="Arial" w:eastAsia="Arial" w:hAnsi="Arial" w:cs="Arial"/>
          <w:b/>
          <w:bCs/>
          <w:lang w:val="es-ES"/>
        </w:rPr>
      </w:pPr>
    </w:p>
    <w:p w14:paraId="66F589ED" w14:textId="34EDD3E2" w:rsidR="003F5949" w:rsidRPr="00A11064" w:rsidRDefault="003F5949" w:rsidP="003F5949">
      <w:pPr>
        <w:tabs>
          <w:tab w:val="left" w:pos="2334"/>
        </w:tabs>
        <w:jc w:val="both"/>
        <w:rPr>
          <w:rFonts w:ascii="Arial" w:eastAsia="Arial" w:hAnsi="Arial" w:cs="Arial"/>
          <w:lang w:val="es-ES"/>
        </w:rPr>
      </w:pPr>
      <w:r w:rsidRPr="00123D9E">
        <w:rPr>
          <w:rFonts w:ascii="Arial" w:eastAsia="Arial" w:hAnsi="Arial" w:cs="Arial"/>
          <w:b/>
          <w:bCs/>
          <w:lang w:val="es-ES"/>
        </w:rPr>
        <w:lastRenderedPageBreak/>
        <w:t xml:space="preserve">QUINTO: FIJAR EL LITIGIO </w:t>
      </w:r>
      <w:r w:rsidRPr="00123D9E">
        <w:rPr>
          <w:rFonts w:ascii="Arial" w:eastAsia="Arial" w:hAnsi="Arial" w:cs="Arial"/>
          <w:lang w:val="es-ES"/>
        </w:rPr>
        <w:t>en los términos indicados en la parte considerativa de la presente providencia.</w:t>
      </w:r>
    </w:p>
    <w:p w14:paraId="7F52ADC7" w14:textId="4ACC951F" w:rsidR="003F5949" w:rsidRPr="00123D9E" w:rsidRDefault="003F5949" w:rsidP="00A11064">
      <w:pPr>
        <w:tabs>
          <w:tab w:val="left" w:pos="2334"/>
        </w:tabs>
        <w:jc w:val="both"/>
        <w:rPr>
          <w:rFonts w:ascii="Arial" w:eastAsia="Arial" w:hAnsi="Arial" w:cs="Arial"/>
          <w:lang w:val="es-ES"/>
        </w:rPr>
      </w:pPr>
      <w:bookmarkStart w:id="3" w:name="_Hlk68509667"/>
      <w:r w:rsidRPr="00123D9E">
        <w:rPr>
          <w:rFonts w:ascii="Arial" w:eastAsia="Arial" w:hAnsi="Arial" w:cs="Arial"/>
          <w:b/>
          <w:bCs/>
          <w:lang w:val="es-ES"/>
        </w:rPr>
        <w:t>SEXTO:</w:t>
      </w:r>
      <w:r w:rsidRPr="00123D9E">
        <w:rPr>
          <w:rFonts w:ascii="Arial" w:eastAsia="Arial" w:hAnsi="Arial" w:cs="Arial"/>
          <w:lang w:val="es-ES"/>
        </w:rPr>
        <w:t xml:space="preserve"> Ejecutoriada la presente providencia, </w:t>
      </w:r>
      <w:r w:rsidRPr="00123D9E">
        <w:rPr>
          <w:rFonts w:ascii="Arial" w:eastAsia="Arial" w:hAnsi="Arial" w:cs="Arial"/>
          <w:b/>
          <w:bCs/>
          <w:lang w:val="es-ES"/>
        </w:rPr>
        <w:t>REGRESAR</w:t>
      </w:r>
      <w:r w:rsidRPr="00123D9E">
        <w:rPr>
          <w:rFonts w:ascii="Arial" w:eastAsia="Arial" w:hAnsi="Arial" w:cs="Arial"/>
          <w:lang w:val="es-ES"/>
        </w:rPr>
        <w:t xml:space="preserve"> las diligencias al Despacho para resolver lo que en derecho corresponda.</w:t>
      </w:r>
      <w:bookmarkEnd w:id="3"/>
    </w:p>
    <w:p w14:paraId="653ACF8A" w14:textId="1FCD8CFF" w:rsidR="003F5949" w:rsidRPr="00A11064" w:rsidRDefault="003F5949" w:rsidP="00A11064">
      <w:pPr>
        <w:tabs>
          <w:tab w:val="left" w:pos="2334"/>
        </w:tabs>
        <w:spacing w:before="20" w:after="20"/>
        <w:jc w:val="both"/>
        <w:rPr>
          <w:rFonts w:ascii="Arial" w:eastAsia="Arial" w:hAnsi="Arial" w:cs="Arial"/>
          <w:lang w:val="es-ES"/>
        </w:rPr>
      </w:pPr>
      <w:r w:rsidRPr="00123D9E">
        <w:rPr>
          <w:rFonts w:ascii="Arial" w:eastAsia="Arial" w:hAnsi="Arial" w:cs="Arial"/>
          <w:lang w:val="es-ES"/>
        </w:rPr>
        <w:t xml:space="preserve">Notifíquese y Cúmplase. </w:t>
      </w:r>
    </w:p>
    <w:p w14:paraId="1C38E10A" w14:textId="77777777" w:rsidR="003F5949" w:rsidRDefault="003F5949" w:rsidP="003F5949">
      <w:pPr>
        <w:tabs>
          <w:tab w:val="left" w:pos="2334"/>
        </w:tabs>
        <w:spacing w:before="20" w:after="20"/>
        <w:jc w:val="center"/>
        <w:rPr>
          <w:rFonts w:ascii="Arial" w:eastAsia="Arial" w:hAnsi="Arial" w:cs="Arial"/>
          <w:b/>
          <w:bCs/>
          <w:lang w:val="es-ES"/>
        </w:rPr>
      </w:pPr>
    </w:p>
    <w:p w14:paraId="4D1DF26E" w14:textId="77777777" w:rsidR="003F5949" w:rsidRDefault="003F5949" w:rsidP="003F5949">
      <w:pPr>
        <w:tabs>
          <w:tab w:val="left" w:pos="2334"/>
        </w:tabs>
        <w:spacing w:before="20" w:after="20"/>
        <w:jc w:val="center"/>
        <w:rPr>
          <w:rFonts w:ascii="Arial" w:eastAsia="Arial" w:hAnsi="Arial" w:cs="Arial"/>
          <w:b/>
          <w:bCs/>
          <w:lang w:val="es-ES"/>
        </w:rPr>
      </w:pPr>
    </w:p>
    <w:p w14:paraId="10EA4FD6" w14:textId="77777777" w:rsidR="003F5949" w:rsidRDefault="003F5949" w:rsidP="003F5949">
      <w:pPr>
        <w:tabs>
          <w:tab w:val="left" w:pos="2334"/>
        </w:tabs>
        <w:spacing w:before="20" w:after="20"/>
        <w:jc w:val="center"/>
        <w:rPr>
          <w:rFonts w:ascii="Arial" w:eastAsia="Arial" w:hAnsi="Arial" w:cs="Arial"/>
          <w:b/>
          <w:bCs/>
          <w:lang w:val="es-ES"/>
        </w:rPr>
      </w:pPr>
    </w:p>
    <w:p w14:paraId="08059179" w14:textId="77777777" w:rsidR="003F5949" w:rsidRPr="00495541" w:rsidRDefault="003F5949" w:rsidP="003F5949">
      <w:pPr>
        <w:tabs>
          <w:tab w:val="left" w:pos="2334"/>
        </w:tabs>
        <w:spacing w:before="20" w:after="20"/>
        <w:jc w:val="center"/>
        <w:rPr>
          <w:rFonts w:ascii="Arial" w:eastAsia="Arial" w:hAnsi="Arial" w:cs="Arial"/>
          <w:b/>
          <w:bCs/>
          <w:lang w:val="es-ES"/>
        </w:rPr>
      </w:pPr>
      <w:r w:rsidRPr="28318911">
        <w:rPr>
          <w:rFonts w:ascii="Arial" w:eastAsia="Arial" w:hAnsi="Arial" w:cs="Arial"/>
          <w:b/>
          <w:bCs/>
          <w:lang w:val="es-ES"/>
        </w:rPr>
        <w:t>DIEGO MAURICIO HIGUERA JIMENEZ</w:t>
      </w:r>
    </w:p>
    <w:p w14:paraId="58AA826E" w14:textId="77777777" w:rsidR="003F5949" w:rsidRPr="00495541" w:rsidRDefault="003F5949" w:rsidP="003F5949">
      <w:pPr>
        <w:tabs>
          <w:tab w:val="left" w:pos="1170"/>
          <w:tab w:val="left" w:pos="2334"/>
          <w:tab w:val="center" w:pos="4136"/>
          <w:tab w:val="right" w:pos="8273"/>
        </w:tabs>
        <w:spacing w:before="20" w:after="20"/>
        <w:jc w:val="center"/>
        <w:rPr>
          <w:rFonts w:ascii="Arial" w:eastAsia="Arial" w:hAnsi="Arial" w:cs="Arial"/>
          <w:lang w:val="es-ES"/>
        </w:rPr>
      </w:pPr>
      <w:r w:rsidRPr="28318911">
        <w:rPr>
          <w:rFonts w:ascii="Arial" w:eastAsia="Arial" w:hAnsi="Arial" w:cs="Arial"/>
          <w:lang w:val="es-ES"/>
        </w:rPr>
        <w:t>Juez</w:t>
      </w:r>
    </w:p>
    <w:p w14:paraId="205AAE00" w14:textId="77777777" w:rsidR="003F5949" w:rsidRPr="00495541" w:rsidRDefault="003F5949" w:rsidP="003F5949">
      <w:pPr>
        <w:tabs>
          <w:tab w:val="left" w:pos="1170"/>
          <w:tab w:val="left" w:pos="2334"/>
          <w:tab w:val="center" w:pos="4136"/>
          <w:tab w:val="right" w:pos="8273"/>
        </w:tabs>
        <w:spacing w:before="20" w:after="20"/>
        <w:rPr>
          <w:rFonts w:ascii="Arial" w:eastAsia="Arial" w:hAnsi="Arial" w:cs="Arial"/>
          <w:lang w:val="es-ES"/>
        </w:rPr>
      </w:pPr>
    </w:p>
    <w:p w14:paraId="703555F6" w14:textId="77777777" w:rsidR="00EB365E" w:rsidRDefault="00EB365E" w:rsidP="00EB365E">
      <w:pPr>
        <w:spacing w:before="100" w:beforeAutospacing="1" w:after="100" w:afterAutospacing="1"/>
        <w:jc w:val="both"/>
        <w:rPr>
          <w:sz w:val="18"/>
          <w:szCs w:val="18"/>
        </w:rPr>
      </w:pPr>
    </w:p>
    <w:p w14:paraId="492FB56E" w14:textId="77777777" w:rsidR="00EB365E" w:rsidRDefault="00EB365E" w:rsidP="00EB365E">
      <w:pPr>
        <w:spacing w:before="100" w:beforeAutospacing="1" w:after="100" w:afterAutospacing="1"/>
        <w:jc w:val="both"/>
        <w:rPr>
          <w:sz w:val="18"/>
          <w:szCs w:val="18"/>
        </w:rPr>
      </w:pPr>
    </w:p>
    <w:p w14:paraId="46500890" w14:textId="77777777" w:rsidR="00EB365E" w:rsidRPr="00426994" w:rsidRDefault="00EB365E" w:rsidP="00EB365E">
      <w:pPr>
        <w:tabs>
          <w:tab w:val="left" w:pos="1294"/>
        </w:tabs>
        <w:rPr>
          <w:rFonts w:ascii="Arial Narrow" w:hAnsi="Arial Narrow"/>
          <w:bCs/>
          <w:sz w:val="16"/>
          <w:szCs w:val="16"/>
        </w:rPr>
      </w:pPr>
    </w:p>
    <w:p w14:paraId="076560B8" w14:textId="77777777" w:rsidR="00EB365E" w:rsidRPr="008C6A0D" w:rsidRDefault="00EB365E" w:rsidP="00EB365E">
      <w:pPr>
        <w:pStyle w:val="Sinespaciado"/>
        <w:rPr>
          <w:rFonts w:ascii="Arial Narrow" w:hAnsi="Arial Narrow"/>
        </w:rPr>
      </w:pPr>
    </w:p>
    <w:p w14:paraId="7D003FA0" w14:textId="77777777" w:rsidR="00EB365E" w:rsidRPr="00EB365E" w:rsidRDefault="00EB365E">
      <w:pPr>
        <w:rPr>
          <w:rFonts w:ascii="Arial" w:hAnsi="Arial" w:cs="Arial"/>
        </w:rPr>
      </w:pPr>
      <w:bookmarkStart w:id="4" w:name="_GoBack"/>
      <w:bookmarkEnd w:id="4"/>
    </w:p>
    <w:sectPr w:rsidR="00EB365E" w:rsidRPr="00EB365E"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529C0" w14:textId="77777777" w:rsidR="00B214DD" w:rsidRDefault="00B214DD">
      <w:pPr>
        <w:spacing w:after="0" w:line="240" w:lineRule="auto"/>
      </w:pPr>
      <w:r>
        <w:separator/>
      </w:r>
    </w:p>
  </w:endnote>
  <w:endnote w:type="continuationSeparator" w:id="0">
    <w:p w14:paraId="3340FBAE" w14:textId="77777777" w:rsidR="00B214DD" w:rsidRDefault="00B2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7FBF449A" w:rsidR="00224C42" w:rsidRDefault="00F57547">
        <w:pPr>
          <w:pStyle w:val="Piedepgina"/>
          <w:jc w:val="right"/>
        </w:pPr>
        <w:r>
          <w:fldChar w:fldCharType="begin"/>
        </w:r>
        <w:r>
          <w:instrText>PAGE   \* MERGEFORMAT</w:instrText>
        </w:r>
        <w:r>
          <w:fldChar w:fldCharType="separate"/>
        </w:r>
        <w:r w:rsidR="00E8190E" w:rsidRPr="00E8190E">
          <w:rPr>
            <w:noProof/>
            <w:lang w:val="es-ES"/>
          </w:rPr>
          <w:t>9</w:t>
        </w:r>
        <w:r>
          <w:fldChar w:fldCharType="end"/>
        </w:r>
      </w:p>
    </w:sdtContent>
  </w:sdt>
  <w:p w14:paraId="2521E8EB" w14:textId="77777777" w:rsidR="00224C42" w:rsidRDefault="00B214D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109AC4C5" w:rsidR="00224C42" w:rsidRDefault="00F57547">
        <w:pPr>
          <w:pStyle w:val="Piedepgina"/>
          <w:jc w:val="right"/>
        </w:pPr>
        <w:r>
          <w:fldChar w:fldCharType="begin"/>
        </w:r>
        <w:r>
          <w:instrText>PAGE   \* MERGEFORMAT</w:instrText>
        </w:r>
        <w:r>
          <w:fldChar w:fldCharType="separate"/>
        </w:r>
        <w:r w:rsidR="00E8190E" w:rsidRPr="00E8190E">
          <w:rPr>
            <w:noProof/>
            <w:lang w:val="es-ES"/>
          </w:rPr>
          <w:t>1</w:t>
        </w:r>
        <w:r>
          <w:fldChar w:fldCharType="end"/>
        </w:r>
      </w:p>
    </w:sdtContent>
  </w:sdt>
  <w:p w14:paraId="60134C65" w14:textId="77777777" w:rsidR="00224C42" w:rsidRDefault="00B214D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93A7" w14:textId="77777777" w:rsidR="00B214DD" w:rsidRDefault="00B214DD">
      <w:pPr>
        <w:spacing w:after="0" w:line="240" w:lineRule="auto"/>
      </w:pPr>
      <w:r>
        <w:separator/>
      </w:r>
    </w:p>
  </w:footnote>
  <w:footnote w:type="continuationSeparator" w:id="0">
    <w:p w14:paraId="047B2FA4" w14:textId="77777777" w:rsidR="00B214DD" w:rsidRDefault="00B214DD">
      <w:pPr>
        <w:spacing w:after="0" w:line="240" w:lineRule="auto"/>
      </w:pPr>
      <w:r>
        <w:continuationSeparator/>
      </w:r>
    </w:p>
  </w:footnote>
  <w:footnote w:id="1">
    <w:p w14:paraId="2AF38B68" w14:textId="77777777" w:rsidR="003F5949" w:rsidRPr="007D7E2F" w:rsidRDefault="003F5949" w:rsidP="003F5949">
      <w:pPr>
        <w:pStyle w:val="Textonotapie"/>
        <w:rPr>
          <w:lang w:val="es-CO"/>
        </w:rPr>
      </w:pPr>
      <w:r>
        <w:rPr>
          <w:rStyle w:val="Refdenotaalpie"/>
          <w:rFonts w:eastAsiaTheme="minorEastAsia"/>
        </w:rPr>
        <w:footnoteRef/>
      </w:r>
      <w:r>
        <w:t xml:space="preserve"> </w:t>
      </w:r>
      <w:r>
        <w:rPr>
          <w:rFonts w:eastAsia="Arial Unicode MS"/>
        </w:rPr>
        <w:t>Norma a</w:t>
      </w:r>
      <w:r w:rsidRPr="00495541">
        <w:rPr>
          <w:rFonts w:eastAsia="Arial Unicode MS"/>
        </w:rPr>
        <w:t>dicionad</w:t>
      </w:r>
      <w:r>
        <w:rPr>
          <w:rFonts w:eastAsia="Arial Unicode MS"/>
        </w:rPr>
        <w:t>a a la Ley 1437 de 2011,</w:t>
      </w:r>
      <w:r w:rsidRPr="00495541">
        <w:rPr>
          <w:rFonts w:eastAsia="Arial Unicode MS"/>
        </w:rPr>
        <w:t xml:space="preserve"> por el artículo 42 de la Ley 2080 de 2021</w:t>
      </w:r>
      <w:r>
        <w:rPr>
          <w:rFonts w:eastAsia="Arial Unicode M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618D8"/>
    <w:multiLevelType w:val="hybridMultilevel"/>
    <w:tmpl w:val="FCD068AE"/>
    <w:lvl w:ilvl="0" w:tplc="0C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30B09BC"/>
    <w:multiLevelType w:val="hybridMultilevel"/>
    <w:tmpl w:val="C65A1EF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39C3CE9"/>
    <w:multiLevelType w:val="hybridMultilevel"/>
    <w:tmpl w:val="EF669B72"/>
    <w:lvl w:ilvl="0" w:tplc="E7AAF62A">
      <w:start w:val="1"/>
      <w:numFmt w:val="upperRoman"/>
      <w:lvlText w:val="%1."/>
      <w:lvlJc w:val="left"/>
      <w:pPr>
        <w:ind w:left="720" w:hanging="360"/>
      </w:pPr>
    </w:lvl>
    <w:lvl w:ilvl="1" w:tplc="475059A8">
      <w:start w:val="1"/>
      <w:numFmt w:val="lowerLetter"/>
      <w:lvlText w:val="%2."/>
      <w:lvlJc w:val="left"/>
      <w:pPr>
        <w:ind w:left="1440" w:hanging="360"/>
      </w:pPr>
    </w:lvl>
    <w:lvl w:ilvl="2" w:tplc="01E06398">
      <w:start w:val="1"/>
      <w:numFmt w:val="lowerRoman"/>
      <w:lvlText w:val="%3."/>
      <w:lvlJc w:val="right"/>
      <w:pPr>
        <w:ind w:left="2160" w:hanging="180"/>
      </w:pPr>
    </w:lvl>
    <w:lvl w:ilvl="3" w:tplc="4C666CE0">
      <w:start w:val="1"/>
      <w:numFmt w:val="decimal"/>
      <w:lvlText w:val="%4."/>
      <w:lvlJc w:val="left"/>
      <w:pPr>
        <w:ind w:left="2880" w:hanging="360"/>
      </w:pPr>
    </w:lvl>
    <w:lvl w:ilvl="4" w:tplc="68FC2012">
      <w:start w:val="1"/>
      <w:numFmt w:val="lowerLetter"/>
      <w:lvlText w:val="%5."/>
      <w:lvlJc w:val="left"/>
      <w:pPr>
        <w:ind w:left="3600" w:hanging="360"/>
      </w:pPr>
    </w:lvl>
    <w:lvl w:ilvl="5" w:tplc="C7769ED6">
      <w:start w:val="1"/>
      <w:numFmt w:val="lowerRoman"/>
      <w:lvlText w:val="%6."/>
      <w:lvlJc w:val="right"/>
      <w:pPr>
        <w:ind w:left="4320" w:hanging="180"/>
      </w:pPr>
    </w:lvl>
    <w:lvl w:ilvl="6" w:tplc="05560A92">
      <w:start w:val="1"/>
      <w:numFmt w:val="decimal"/>
      <w:lvlText w:val="%7."/>
      <w:lvlJc w:val="left"/>
      <w:pPr>
        <w:ind w:left="5040" w:hanging="360"/>
      </w:pPr>
    </w:lvl>
    <w:lvl w:ilvl="7" w:tplc="0346E492">
      <w:start w:val="1"/>
      <w:numFmt w:val="lowerLetter"/>
      <w:lvlText w:val="%8."/>
      <w:lvlJc w:val="left"/>
      <w:pPr>
        <w:ind w:left="5760" w:hanging="360"/>
      </w:pPr>
    </w:lvl>
    <w:lvl w:ilvl="8" w:tplc="56568558">
      <w:start w:val="1"/>
      <w:numFmt w:val="lowerRoman"/>
      <w:lvlText w:val="%9."/>
      <w:lvlJc w:val="right"/>
      <w:pPr>
        <w:ind w:left="6480" w:hanging="180"/>
      </w:pPr>
    </w:lvl>
  </w:abstractNum>
  <w:abstractNum w:abstractNumId="11"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CC0969"/>
    <w:multiLevelType w:val="hybridMultilevel"/>
    <w:tmpl w:val="33662DEA"/>
    <w:lvl w:ilvl="0" w:tplc="BB5AFAC4">
      <w:start w:val="1"/>
      <w:numFmt w:val="lowerLetter"/>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7"/>
  </w:num>
  <w:num w:numId="4">
    <w:abstractNumId w:val="2"/>
  </w:num>
  <w:num w:numId="5">
    <w:abstractNumId w:val="11"/>
  </w:num>
  <w:num w:numId="6">
    <w:abstractNumId w:val="12"/>
  </w:num>
  <w:num w:numId="7">
    <w:abstractNumId w:val="5"/>
  </w:num>
  <w:num w:numId="8">
    <w:abstractNumId w:val="16"/>
  </w:num>
  <w:num w:numId="9">
    <w:abstractNumId w:val="17"/>
  </w:num>
  <w:num w:numId="10">
    <w:abstractNumId w:val="3"/>
  </w:num>
  <w:num w:numId="11">
    <w:abstractNumId w:val="1"/>
  </w:num>
  <w:num w:numId="12">
    <w:abstractNumId w:val="19"/>
  </w:num>
  <w:num w:numId="13">
    <w:abstractNumId w:val="6"/>
  </w:num>
  <w:num w:numId="14">
    <w:abstractNumId w:val="14"/>
  </w:num>
  <w:num w:numId="15">
    <w:abstractNumId w:val="8"/>
  </w:num>
  <w:num w:numId="16">
    <w:abstractNumId w:val="15"/>
  </w:num>
  <w:num w:numId="17">
    <w:abstractNumId w:val="10"/>
  </w:num>
  <w:num w:numId="18">
    <w:abstractNumId w:val="13"/>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A293E"/>
    <w:rsid w:val="002E526E"/>
    <w:rsid w:val="002F6A16"/>
    <w:rsid w:val="002F7D1D"/>
    <w:rsid w:val="00306339"/>
    <w:rsid w:val="00321B69"/>
    <w:rsid w:val="00341FFF"/>
    <w:rsid w:val="003A0FA3"/>
    <w:rsid w:val="003B379B"/>
    <w:rsid w:val="003F5949"/>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11064"/>
    <w:rsid w:val="00A461DF"/>
    <w:rsid w:val="00A62E46"/>
    <w:rsid w:val="00AA37BB"/>
    <w:rsid w:val="00B214DD"/>
    <w:rsid w:val="00B47DA4"/>
    <w:rsid w:val="00B713D2"/>
    <w:rsid w:val="00C43096"/>
    <w:rsid w:val="00C53F95"/>
    <w:rsid w:val="00C5649B"/>
    <w:rsid w:val="00CC64F1"/>
    <w:rsid w:val="00CF03D9"/>
    <w:rsid w:val="00D111DA"/>
    <w:rsid w:val="00D747D0"/>
    <w:rsid w:val="00D75A67"/>
    <w:rsid w:val="00DB38E3"/>
    <w:rsid w:val="00DC48C6"/>
    <w:rsid w:val="00DC796E"/>
    <w:rsid w:val="00DE6DCB"/>
    <w:rsid w:val="00E031FD"/>
    <w:rsid w:val="00E03626"/>
    <w:rsid w:val="00E377AA"/>
    <w:rsid w:val="00E42B7C"/>
    <w:rsid w:val="00E61BDD"/>
    <w:rsid w:val="00E8190E"/>
    <w:rsid w:val="00E93701"/>
    <w:rsid w:val="00EB3514"/>
    <w:rsid w:val="00EB365E"/>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uiPriority w:val="99"/>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qFormat/>
    <w:rsid w:val="002E526E"/>
    <w:pPr>
      <w:ind w:left="720"/>
      <w:contextualSpacing/>
    </w:pPr>
  </w:style>
  <w:style w:type="paragraph" w:styleId="Encabezado">
    <w:name w:val="header"/>
    <w:basedOn w:val="Normal"/>
    <w:link w:val="EncabezadoCar"/>
    <w:uiPriority w:val="99"/>
    <w:unhideWhenUsed/>
    <w:rsid w:val="00EB365E"/>
    <w:pPr>
      <w:tabs>
        <w:tab w:val="center" w:pos="4252"/>
        <w:tab w:val="right" w:pos="8504"/>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basedOn w:val="Fuentedeprrafopredeter"/>
    <w:link w:val="Encabezado"/>
    <w:uiPriority w:val="99"/>
    <w:rsid w:val="00EB365E"/>
    <w:rPr>
      <w:rFonts w:ascii="Times New Roman" w:eastAsia="Times New Roman" w:hAnsi="Times New Roman" w:cs="Times New Roman"/>
      <w:sz w:val="20"/>
      <w:szCs w:val="20"/>
      <w:lang w:val="es-ES" w:eastAsia="es-CO"/>
    </w:rPr>
  </w:style>
  <w:style w:type="character" w:styleId="Refdenotaalpie">
    <w:name w:val="footnote reference"/>
    <w:aliases w:val="Ref. de nota al pie 2,Texto de nota al pie,Ref,de nota al pie,FC,Appel note d,Appel note de,Appel note de bas de p,Appel note de bas de,referencia nota al pie,Fago Fußnotenzeichen,Appel note de bas de page,Footnotes refss,BVI fnr,4_G"/>
    <w:link w:val="4GChar"/>
    <w:uiPriority w:val="99"/>
    <w:qFormat/>
    <w:rsid w:val="00EB365E"/>
    <w:rPr>
      <w:vertAlign w:val="superscript"/>
    </w:rPr>
  </w:style>
  <w:style w:type="character" w:customStyle="1" w:styleId="normaltextrun">
    <w:name w:val="normaltextrun"/>
    <w:basedOn w:val="Fuentedeprrafopredeter"/>
    <w:rsid w:val="00EB365E"/>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EB365E"/>
    <w:pPr>
      <w:spacing w:after="0" w:line="240" w:lineRule="auto"/>
      <w:jc w:val="both"/>
    </w:pPr>
    <w:rPr>
      <w:rFonts w:eastAsiaTheme="minorHAnsi"/>
      <w:vertAlign w:val="superscript"/>
      <w:lang w:val="en-US" w:eastAsia="en-US"/>
    </w:rPr>
  </w:style>
  <w:style w:type="paragraph" w:styleId="Textoindependiente">
    <w:name w:val="Body Text"/>
    <w:basedOn w:val="Normal"/>
    <w:link w:val="TextoindependienteCar"/>
    <w:rsid w:val="003F5949"/>
    <w:pPr>
      <w:overflowPunct w:val="0"/>
      <w:autoSpaceDE w:val="0"/>
      <w:autoSpaceDN w:val="0"/>
      <w:adjustRightInd w:val="0"/>
      <w:spacing w:after="0" w:line="240" w:lineRule="auto"/>
      <w:jc w:val="both"/>
      <w:textAlignment w:val="baseline"/>
    </w:pPr>
    <w:rPr>
      <w:rFonts w:ascii="Verdana" w:eastAsia="Times New Roman" w:hAnsi="Verdana" w:cs="Times New Roman"/>
      <w:iCs/>
      <w:kern w:val="28"/>
      <w:sz w:val="20"/>
      <w:szCs w:val="20"/>
      <w:lang w:val="es-ES_tradnl" w:eastAsia="es-ES"/>
    </w:rPr>
  </w:style>
  <w:style w:type="character" w:customStyle="1" w:styleId="TextoindependienteCar">
    <w:name w:val="Texto independiente Car"/>
    <w:basedOn w:val="Fuentedeprrafopredeter"/>
    <w:link w:val="Textoindependiente"/>
    <w:rsid w:val="003F5949"/>
    <w:rPr>
      <w:rFonts w:ascii="Verdana" w:eastAsia="Times New Roman" w:hAnsi="Verdana" w:cs="Times New Roman"/>
      <w:iCs/>
      <w:kern w:val="28"/>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7981A-053D-4A0A-BD6D-7A379BACF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2633</Words>
  <Characters>14485</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Bertolt Rivera</cp:lastModifiedBy>
  <cp:revision>3</cp:revision>
  <dcterms:created xsi:type="dcterms:W3CDTF">2021-09-06T05:29:00Z</dcterms:created>
  <dcterms:modified xsi:type="dcterms:W3CDTF">2021-09-06T05:30:00Z</dcterms:modified>
</cp:coreProperties>
</file>