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2E0" w:rsidRDefault="00476EDE">
      <w:r>
        <w:t>TALLER ASINCRÓNICO DE SENTENCIA ANTICIPADA</w:t>
      </w:r>
    </w:p>
    <w:p w:rsidR="00476EDE" w:rsidRDefault="00476EDE">
      <w:r>
        <w:t xml:space="preserve">1.- En el primer caso el juez debe </w:t>
      </w:r>
      <w:r w:rsidR="001C0887">
        <w:t xml:space="preserve">retomar el camino procesal de la sentencia ordinaria, </w:t>
      </w:r>
      <w:r>
        <w:t>convocar y realizar la audiencia inicial, con sustento en el inciso cuarto del art. 182ª del CPACA.</w:t>
      </w:r>
    </w:p>
    <w:p w:rsidR="001C0887" w:rsidRDefault="001C0887">
      <w:r>
        <w:t>2.- En el caso 2 el juez debe requerir a la parte para que aporte los antecedentes administrativos como es su deber.</w:t>
      </w:r>
    </w:p>
    <w:p w:rsidR="001C0887" w:rsidRDefault="001C0887">
      <w:r>
        <w:t xml:space="preserve">3.- </w:t>
      </w:r>
      <w:r w:rsidR="008008B7">
        <w:t>En el caso 3 el juez debe también convocar a audiencia inicial y adelantar la etapa probatoria correspondiente y fallar en sentencia ordinaria.</w:t>
      </w:r>
    </w:p>
    <w:p w:rsidR="00D96B7B" w:rsidRDefault="00D96B7B">
      <w:r>
        <w:t xml:space="preserve">4.- En el caso 4 es viable dictar </w:t>
      </w:r>
      <w:r>
        <w:t>sentencia anticipada porque las pruebas que solicitó la parte actora son inconducentes, impertinentes o inútiles</w:t>
      </w:r>
      <w:r>
        <w:t xml:space="preserve">, aplicando el art. 182 A numeral 1, literales b) y d). </w:t>
      </w:r>
      <w:bookmarkStart w:id="0" w:name="_GoBack"/>
      <w:bookmarkEnd w:id="0"/>
    </w:p>
    <w:sectPr w:rsidR="00D96B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DE"/>
    <w:rsid w:val="000932E0"/>
    <w:rsid w:val="001C0887"/>
    <w:rsid w:val="00476EDE"/>
    <w:rsid w:val="008008B7"/>
    <w:rsid w:val="00D9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00C85-F78C-4496-9F50-02CC1383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 300</dc:creator>
  <cp:keywords/>
  <dc:description/>
  <cp:lastModifiedBy>YOGA 300</cp:lastModifiedBy>
  <cp:revision>3</cp:revision>
  <dcterms:created xsi:type="dcterms:W3CDTF">2021-09-06T02:34:00Z</dcterms:created>
  <dcterms:modified xsi:type="dcterms:W3CDTF">2021-09-06T03:10:00Z</dcterms:modified>
</cp:coreProperties>
</file>