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2AB3304" w:rsidR="00B713D2" w:rsidRPr="007A7DED" w:rsidRDefault="00ED4ECD" w:rsidP="00B713D2">
      <w:pPr>
        <w:pStyle w:val="Sinespaciado"/>
        <w:ind w:left="-1134"/>
        <w:rPr>
          <w:rFonts w:ascii="Arial" w:hAnsi="Arial" w:cs="Arial"/>
          <w:lang w:val="es-MX"/>
        </w:rPr>
      </w:pPr>
      <w:r w:rsidRPr="007A7DED">
        <w:rPr>
          <w:rFonts w:ascii="Arial" w:eastAsia="Calibri" w:hAnsi="Arial" w:cs="Arial"/>
          <w:lang w:val="es-MX"/>
        </w:rPr>
        <w:t>Elaborada por:</w:t>
      </w:r>
      <w:r w:rsidR="008727A9" w:rsidRPr="007A7DED">
        <w:rPr>
          <w:rFonts w:ascii="Arial" w:eastAsia="Calibri" w:hAnsi="Arial" w:cs="Arial"/>
          <w:lang w:val="es-MX"/>
        </w:rPr>
        <w:t xml:space="preserve"> </w:t>
      </w:r>
      <w:r w:rsidR="005D796F" w:rsidRPr="007A7DED">
        <w:rPr>
          <w:rFonts w:ascii="Arial" w:eastAsia="Calibri" w:hAnsi="Arial" w:cs="Arial"/>
          <w:lang w:val="es-MX"/>
        </w:rPr>
        <w:t>ANGELA SOLEDAD JARAMILLO MENDEZ</w:t>
      </w:r>
    </w:p>
    <w:p w14:paraId="5F7DBDD4" w14:textId="24AFC75F" w:rsidR="00ED4ECD" w:rsidRPr="007A7DED" w:rsidRDefault="00B713D2" w:rsidP="00B713D2">
      <w:pPr>
        <w:pStyle w:val="Sinespaciado"/>
        <w:ind w:left="-1134"/>
        <w:rPr>
          <w:rFonts w:ascii="Arial" w:hAnsi="Arial" w:cs="Arial"/>
          <w:lang w:val="es-MX"/>
        </w:rPr>
      </w:pPr>
      <w:r w:rsidRPr="007A7DED">
        <w:rPr>
          <w:rFonts w:ascii="Arial" w:hAnsi="Arial" w:cs="Arial"/>
          <w:lang w:val="es-MX"/>
        </w:rPr>
        <w:t xml:space="preserve">Fecha: </w:t>
      </w:r>
      <w:r w:rsidR="005D796F" w:rsidRPr="007A7DED">
        <w:rPr>
          <w:rFonts w:ascii="Arial" w:hAnsi="Arial" w:cs="Arial"/>
          <w:lang w:val="es-MX"/>
        </w:rPr>
        <w:t>5 DE SEPTIEMBRE DE 2021</w:t>
      </w:r>
    </w:p>
    <w:p w14:paraId="2E66E59A" w14:textId="163FA256" w:rsidR="007A7DED" w:rsidRPr="007A7DED" w:rsidRDefault="00B713D2" w:rsidP="007A7DED">
      <w:pPr>
        <w:pStyle w:val="Sinespaciado"/>
        <w:ind w:left="-1134"/>
        <w:rPr>
          <w:rFonts w:ascii="Arial" w:hAnsi="Arial" w:cs="Arial"/>
          <w:lang w:val="es-MX"/>
        </w:rPr>
      </w:pPr>
      <w:r w:rsidRPr="007A7DED">
        <w:rPr>
          <w:rFonts w:ascii="Arial" w:hAnsi="Arial" w:cs="Arial"/>
          <w:lang w:val="es-MX"/>
        </w:rPr>
        <w:t>Medio de c</w:t>
      </w:r>
      <w:r w:rsidR="00ED4ECD" w:rsidRPr="007A7DED">
        <w:rPr>
          <w:rFonts w:ascii="Arial" w:hAnsi="Arial" w:cs="Arial"/>
          <w:lang w:val="es-MX"/>
        </w:rPr>
        <w:t xml:space="preserve">ontrol: </w:t>
      </w:r>
      <w:r w:rsidR="00B04890">
        <w:rPr>
          <w:rFonts w:ascii="Arial" w:hAnsi="Arial" w:cs="Arial"/>
          <w:lang w:val="es-MX"/>
        </w:rPr>
        <w:t>REPARACION DIRECTA</w:t>
      </w:r>
    </w:p>
    <w:p w14:paraId="6B89892F" w14:textId="6EFC527A" w:rsidR="00B713D2" w:rsidRPr="007A7DED" w:rsidRDefault="00B713D2" w:rsidP="00B713D2">
      <w:pPr>
        <w:pStyle w:val="Sinespaciado"/>
        <w:ind w:left="-1134"/>
        <w:rPr>
          <w:rFonts w:ascii="Arial" w:hAnsi="Arial" w:cs="Arial"/>
          <w:lang w:val="es-MX"/>
        </w:rPr>
      </w:pPr>
      <w:r w:rsidRPr="007A7DED">
        <w:rPr>
          <w:rFonts w:ascii="Arial" w:hAnsi="Arial" w:cs="Arial"/>
          <w:lang w:val="es-MX"/>
        </w:rPr>
        <w:t>Demandante:</w:t>
      </w:r>
      <w:r w:rsidR="008727A9" w:rsidRPr="007A7DED">
        <w:rPr>
          <w:rFonts w:ascii="Arial" w:hAnsi="Arial" w:cs="Arial"/>
          <w:lang w:val="es-MX"/>
        </w:rPr>
        <w:t xml:space="preserve"> </w:t>
      </w:r>
      <w:r w:rsidR="007A7DED" w:rsidRPr="007A7DED">
        <w:rPr>
          <w:rFonts w:ascii="Arial" w:eastAsia="Times New Roman" w:hAnsi="Arial" w:cs="Arial"/>
          <w:spacing w:val="-6"/>
          <w:sz w:val="24"/>
          <w:szCs w:val="24"/>
          <w:lang w:val="es-ES" w:eastAsia="es-ES"/>
        </w:rPr>
        <w:t>J</w:t>
      </w:r>
      <w:r w:rsidR="00B04890">
        <w:rPr>
          <w:rFonts w:ascii="Arial" w:eastAsia="Times New Roman" w:hAnsi="Arial" w:cs="Arial"/>
          <w:spacing w:val="-6"/>
          <w:sz w:val="24"/>
          <w:szCs w:val="24"/>
          <w:lang w:val="es-ES" w:eastAsia="es-ES"/>
        </w:rPr>
        <w:t xml:space="preserve">HON JAIRO PEREZ </w:t>
      </w:r>
    </w:p>
    <w:p w14:paraId="1660C8A3" w14:textId="2E07619A" w:rsidR="00B713D2" w:rsidRPr="007A7DED" w:rsidRDefault="00B713D2" w:rsidP="00B713D2">
      <w:pPr>
        <w:pStyle w:val="Sinespaciado"/>
        <w:ind w:left="-1134"/>
        <w:rPr>
          <w:rFonts w:ascii="Arial" w:hAnsi="Arial" w:cs="Arial"/>
          <w:lang w:val="es-MX"/>
        </w:rPr>
      </w:pPr>
      <w:r w:rsidRPr="007A7DED">
        <w:rPr>
          <w:rFonts w:ascii="Arial" w:hAnsi="Arial" w:cs="Arial"/>
          <w:lang w:val="es-MX"/>
        </w:rPr>
        <w:t>Demandado:</w:t>
      </w:r>
      <w:r w:rsidR="008727A9" w:rsidRPr="007A7DED">
        <w:rPr>
          <w:rFonts w:ascii="Arial" w:hAnsi="Arial" w:cs="Arial"/>
          <w:lang w:val="es-MX"/>
        </w:rPr>
        <w:t xml:space="preserve"> </w:t>
      </w:r>
      <w:r w:rsidR="00B04890">
        <w:rPr>
          <w:rFonts w:ascii="Arial" w:eastAsia="Times New Roman" w:hAnsi="Arial" w:cs="Arial"/>
          <w:spacing w:val="-6"/>
          <w:sz w:val="24"/>
          <w:szCs w:val="24"/>
          <w:lang w:val="es-ES" w:eastAsia="es-ES"/>
        </w:rPr>
        <w:t>MUNICIPIO DE SANTIAGO DE CALI</w:t>
      </w:r>
    </w:p>
    <w:p w14:paraId="19FDD2BC" w14:textId="77777777" w:rsidR="00B713D2" w:rsidRPr="007A7DED"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6D6C8340" w:rsidR="00FE6B43"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76F40FBB" w14:textId="0C0C5EEA" w:rsidR="008727A9" w:rsidRDefault="008727A9" w:rsidP="000F105D">
            <w:pPr>
              <w:pStyle w:val="Sinespaciado"/>
              <w:rPr>
                <w:rFonts w:ascii="Arial" w:eastAsia="Calibri" w:hAnsi="Arial" w:cs="Arial"/>
                <w:lang w:val="es-MX"/>
              </w:rPr>
            </w:pPr>
          </w:p>
          <w:p w14:paraId="51A1F2BA" w14:textId="701DEE38" w:rsidR="008727A9" w:rsidRPr="007A7DED" w:rsidRDefault="007A7DED" w:rsidP="008727A9">
            <w:pPr>
              <w:pStyle w:val="Sinespaciado"/>
              <w:jc w:val="both"/>
              <w:rPr>
                <w:rFonts w:ascii="Arial" w:eastAsia="Calibri" w:hAnsi="Arial" w:cs="Arial"/>
                <w:lang w:val="es-MX"/>
              </w:rPr>
            </w:pPr>
            <w:r w:rsidRPr="007A7DED">
              <w:rPr>
                <w:rFonts w:ascii="Arial" w:eastAsia="Calibri" w:hAnsi="Arial" w:cs="Arial"/>
                <w:highlight w:val="yellow"/>
                <w:lang w:val="es-MX"/>
              </w:rPr>
              <w:t xml:space="preserve">Revisado el expediente, el despacho observa </w:t>
            </w:r>
            <w:proofErr w:type="gramStart"/>
            <w:r w:rsidRPr="007A7DED">
              <w:rPr>
                <w:rFonts w:ascii="Arial" w:eastAsia="Calibri" w:hAnsi="Arial" w:cs="Arial"/>
                <w:highlight w:val="yellow"/>
                <w:lang w:val="es-MX"/>
              </w:rPr>
              <w:t>que</w:t>
            </w:r>
            <w:proofErr w:type="gramEnd"/>
            <w:r w:rsidRPr="007A7DED">
              <w:rPr>
                <w:rFonts w:ascii="Arial" w:eastAsia="Calibri" w:hAnsi="Arial" w:cs="Arial"/>
                <w:highlight w:val="yellow"/>
                <w:lang w:val="es-MX"/>
              </w:rPr>
              <w:t xml:space="preserve"> </w:t>
            </w:r>
            <w:r w:rsidR="008727A9" w:rsidRPr="007A7DED">
              <w:rPr>
                <w:rFonts w:ascii="Arial" w:eastAsia="Calibri" w:hAnsi="Arial" w:cs="Arial"/>
                <w:highlight w:val="yellow"/>
                <w:lang w:val="es-MX"/>
              </w:rPr>
              <w:t>vencido el término de traslado de la demanda, no se formularon excepciones que tengan el carácter de previas</w:t>
            </w:r>
            <w:r>
              <w:rPr>
                <w:rFonts w:ascii="Arial" w:eastAsia="Calibri" w:hAnsi="Arial" w:cs="Arial"/>
                <w:highlight w:val="yellow"/>
                <w:lang w:val="es-MX"/>
              </w:rPr>
              <w:t xml:space="preserve">; así mismo, no </w:t>
            </w:r>
            <w:proofErr w:type="spellStart"/>
            <w:r>
              <w:rPr>
                <w:rFonts w:ascii="Arial" w:eastAsia="Calibri" w:hAnsi="Arial" w:cs="Arial"/>
                <w:highlight w:val="yellow"/>
                <w:lang w:val="es-MX"/>
              </w:rPr>
              <w:t>se</w:t>
            </w:r>
            <w:proofErr w:type="spellEnd"/>
            <w:r>
              <w:rPr>
                <w:rFonts w:ascii="Arial" w:eastAsia="Calibri" w:hAnsi="Arial" w:cs="Arial"/>
                <w:highlight w:val="yellow"/>
                <w:lang w:val="es-MX"/>
              </w:rPr>
              <w:t xml:space="preserve"> observa incumplimiento de los requisitos de procedibilidad señalados en el artículo 161 del CPACA. </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52215D6">
                      <wp:simplePos x="0" y="0"/>
                      <wp:positionH relativeFrom="column">
                        <wp:posOffset>3487077</wp:posOffset>
                      </wp:positionH>
                      <wp:positionV relativeFrom="paragraph">
                        <wp:posOffset>152547</wp:posOffset>
                      </wp:positionV>
                      <wp:extent cx="550985" cy="269630"/>
                      <wp:effectExtent l="0" t="0" r="20955" b="16510"/>
                      <wp:wrapNone/>
                      <wp:docPr id="5" name="Rectángulo 5"/>
                      <wp:cNvGraphicFramePr/>
                      <a:graphic xmlns:a="http://schemas.openxmlformats.org/drawingml/2006/main">
                        <a:graphicData uri="http://schemas.microsoft.com/office/word/2010/wordprocessingShape">
                          <wps:wsp>
                            <wps:cNvSpPr/>
                            <wps:spPr>
                              <a:xfrm>
                                <a:off x="0" y="0"/>
                                <a:ext cx="550985" cy="2696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16D3A1" w14:textId="59012016" w:rsidR="008727A9" w:rsidRPr="008727A9" w:rsidRDefault="008727A9" w:rsidP="008727A9">
                                  <w:pPr>
                                    <w:jc w:val="center"/>
                                    <w:rPr>
                                      <w:b/>
                                      <w:bCs/>
                                      <w:color w:val="FF000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55pt;margin-top:12pt;width:43.4pt;height:2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" fillcolor="white [3201]" strokecolor="#70ad47 [3209]" strokeweight="1pt">
                      <v:textbox>
                        <w:txbxContent>
                          <w:p w14:paraId="4216D3A1" w14:textId="59012016" w:rsidR="008727A9" w:rsidRPr="008727A9" w:rsidRDefault="008727A9" w:rsidP="008727A9">
                            <w:pPr>
                              <w:jc w:val="center"/>
                              <w:rPr>
                                <w:b/>
                                <w:bCs/>
                                <w:color w:val="FF0000"/>
                                <w:u w:val="single"/>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A6A9A37">
                      <wp:simplePos x="0" y="0"/>
                      <wp:positionH relativeFrom="column">
                        <wp:posOffset>3129524</wp:posOffset>
                      </wp:positionH>
                      <wp:positionV relativeFrom="paragraph">
                        <wp:posOffset>153621</wp:posOffset>
                      </wp:positionV>
                      <wp:extent cx="357554" cy="252046"/>
                      <wp:effectExtent l="0" t="0" r="23495" b="15240"/>
                      <wp:wrapNone/>
                      <wp:docPr id="6" name="Rectángulo 6"/>
                      <wp:cNvGraphicFramePr/>
                      <a:graphic xmlns:a="http://schemas.openxmlformats.org/drawingml/2006/main">
                        <a:graphicData uri="http://schemas.microsoft.com/office/word/2010/wordprocessingShape">
                          <wps:wsp>
                            <wps:cNvSpPr/>
                            <wps:spPr>
                              <a:xfrm>
                                <a:off x="0" y="0"/>
                                <a:ext cx="357554" cy="25204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38B453" w14:textId="36AADD17" w:rsidR="008727A9" w:rsidRPr="008727A9" w:rsidRDefault="008727A9" w:rsidP="008727A9">
                                  <w:pPr>
                                    <w:jc w:val="center"/>
                                    <w:rPr>
                                      <w:b/>
                                      <w:bCs/>
                                      <w:color w:val="FF0000"/>
                                      <w:u w:val="single"/>
                                    </w:rPr>
                                  </w:pPr>
                                  <w:r w:rsidRPr="008727A9">
                                    <w:rPr>
                                      <w:b/>
                                      <w:bCs/>
                                      <w:color w:val="FF000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4pt;margin-top:12.1pt;width:28.15pt;height:19.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" fillcolor="white [3201]" strokecolor="#70ad47 [3209]" strokeweight="1pt">
                      <v:textbox>
                        <w:txbxContent>
                          <w:p w14:paraId="3038B453" w14:textId="36AADD17" w:rsidR="008727A9" w:rsidRPr="008727A9" w:rsidRDefault="008727A9" w:rsidP="008727A9">
                            <w:pPr>
                              <w:jc w:val="center"/>
                              <w:rPr>
                                <w:b/>
                                <w:bCs/>
                                <w:color w:val="FF0000"/>
                                <w:u w:val="single"/>
                              </w:rPr>
                            </w:pPr>
                            <w:r w:rsidRPr="008727A9">
                              <w:rPr>
                                <w:b/>
                                <w:bCs/>
                                <w:color w:val="FF0000"/>
                                <w:u w:val="single"/>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FA4F712">
                      <wp:simplePos x="0" y="0"/>
                      <wp:positionH relativeFrom="column">
                        <wp:posOffset>1605523</wp:posOffset>
                      </wp:positionH>
                      <wp:positionV relativeFrom="paragraph">
                        <wp:posOffset>322286</wp:posOffset>
                      </wp:positionV>
                      <wp:extent cx="392723" cy="246185"/>
                      <wp:effectExtent l="0" t="0" r="26670" b="20955"/>
                      <wp:wrapNone/>
                      <wp:docPr id="15" name="Rectángulo 15"/>
                      <wp:cNvGraphicFramePr/>
                      <a:graphic xmlns:a="http://schemas.openxmlformats.org/drawingml/2006/main">
                        <a:graphicData uri="http://schemas.microsoft.com/office/word/2010/wordprocessingShape">
                          <wps:wsp>
                            <wps:cNvSpPr/>
                            <wps:spPr>
                              <a:xfrm>
                                <a:off x="0" y="0"/>
                                <a:ext cx="392723" cy="2461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44C776" w14:textId="56A75B75" w:rsidR="008727A9" w:rsidRPr="00B86F77" w:rsidRDefault="008727A9" w:rsidP="008727A9">
                                  <w:pPr>
                                    <w:jc w:val="center"/>
                                    <w:rPr>
                                      <w:b/>
                                      <w:bCs/>
                                      <w:color w:val="FF0000"/>
                                      <w:u w:val="single"/>
                                    </w:rPr>
                                  </w:pPr>
                                  <w:r w:rsidRPr="00B86F77">
                                    <w:rPr>
                                      <w:b/>
                                      <w:bCs/>
                                      <w:color w:val="FF0000"/>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4pt;margin-top:25.4pt;width:30.9pt;height:1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" fillcolor="white [3201]" strokecolor="#70ad47 [3209]" strokeweight="1pt">
                      <v:textbox>
                        <w:txbxContent>
                          <w:p w14:paraId="6E44C776" w14:textId="56A75B75" w:rsidR="008727A9" w:rsidRPr="00B86F77" w:rsidRDefault="008727A9" w:rsidP="008727A9">
                            <w:pPr>
                              <w:jc w:val="center"/>
                              <w:rPr>
                                <w:b/>
                                <w:bCs/>
                                <w:color w:val="FF0000"/>
                                <w:u w:val="single"/>
                              </w:rPr>
                            </w:pPr>
                            <w:r w:rsidRPr="00B86F77">
                              <w:rPr>
                                <w:b/>
                                <w:bCs/>
                                <w:color w:val="FF0000"/>
                                <w:u w:val="single"/>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027709E9" w14:textId="71C6AF06" w:rsidR="00B04890" w:rsidRDefault="00341FFF" w:rsidP="00B04890">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6E356AFE" w14:textId="12568F2F" w:rsidR="00B04890" w:rsidRDefault="00B04890" w:rsidP="00B04890">
            <w:pPr>
              <w:pStyle w:val="Sinespaciado"/>
              <w:jc w:val="both"/>
              <w:rPr>
                <w:rFonts w:ascii="Arial" w:eastAsia="Calibri" w:hAnsi="Arial" w:cs="Arial"/>
                <w:lang w:val="es-MX"/>
              </w:rPr>
            </w:pPr>
          </w:p>
          <w:p w14:paraId="1DBFA9C3" w14:textId="77777777" w:rsidR="00B04890" w:rsidRPr="00B04890" w:rsidRDefault="00B04890" w:rsidP="00B04890">
            <w:pPr>
              <w:pStyle w:val="Sinespaciado"/>
              <w:jc w:val="both"/>
              <w:rPr>
                <w:rFonts w:ascii="Arial" w:eastAsia="Calibri" w:hAnsi="Arial" w:cs="Arial"/>
                <w:lang w:val="es-MX"/>
              </w:rPr>
            </w:pPr>
          </w:p>
          <w:p w14:paraId="73597A93"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1.</w:t>
            </w:r>
            <w:r w:rsidRPr="00B04890">
              <w:rPr>
                <w:rFonts w:ascii="Arial" w:eastAsia="Calibri" w:hAnsi="Arial" w:cs="Arial"/>
                <w:highlight w:val="yellow"/>
                <w:lang w:val="es-MX"/>
              </w:rPr>
              <w:tab/>
              <w:t xml:space="preserve">Sobre la sentencia anticipada. En el marco de la declaratoria de emergencia sanitaria decretada por el Gobierno Nacional por causa del nuevo Coronavirus COVID-191, se expidió el Decreto Legislativo </w:t>
            </w:r>
            <w:proofErr w:type="spellStart"/>
            <w:r w:rsidRPr="00B04890">
              <w:rPr>
                <w:rFonts w:ascii="Arial" w:eastAsia="Calibri" w:hAnsi="Arial" w:cs="Arial"/>
                <w:highlight w:val="yellow"/>
                <w:lang w:val="es-MX"/>
              </w:rPr>
              <w:t>N°</w:t>
            </w:r>
            <w:proofErr w:type="spellEnd"/>
            <w:r w:rsidRPr="00B04890">
              <w:rPr>
                <w:rFonts w:ascii="Arial" w:eastAsia="Calibri" w:hAnsi="Arial" w:cs="Arial"/>
                <w:highlight w:val="yellow"/>
                <w:lang w:val="es-MX"/>
              </w:rPr>
              <w:t xml:space="preserve"> 806 del 4 de junio de 2020 “por el cual se adoptan medidas para implementar las tecnologías de la información y las comunicaciones en las actuaciones judiciales, agilizar los procesos judiciales y flexibilizar la atención a los usuarios del servicio de justicia, en el marco del Estado de Emergencia Económica, Social y Ecológica”.</w:t>
            </w:r>
          </w:p>
          <w:p w14:paraId="4AC04D64" w14:textId="77777777" w:rsidR="00B04890" w:rsidRPr="00B04890" w:rsidRDefault="00B04890" w:rsidP="00B04890">
            <w:pPr>
              <w:pStyle w:val="Sinespaciado"/>
              <w:ind w:left="720"/>
              <w:jc w:val="both"/>
              <w:rPr>
                <w:rFonts w:ascii="Arial" w:eastAsia="Calibri" w:hAnsi="Arial" w:cs="Arial"/>
                <w:highlight w:val="yellow"/>
                <w:lang w:val="es-MX"/>
              </w:rPr>
            </w:pPr>
          </w:p>
          <w:p w14:paraId="4E65D60F"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El referido Decreto, dispuso en su artículo 13, que en la jurisdicción contencioso administrativa era posible proferir sentencia anticipada, entre otros, “Antes de la audiencia inicial, cuando se trate de asuntos de puro derecho o no fuere necesario practicar pruebas. caso en el cual correrá traslado para alegar por escrito, en la forma prevista en el inciso final del artículo 181 de la Ley 1437 de 2011 y la sentencia se proferirá por escrito.”</w:t>
            </w:r>
          </w:p>
          <w:p w14:paraId="33D1EA65" w14:textId="77777777" w:rsidR="00B04890" w:rsidRPr="00B04890" w:rsidRDefault="00B04890" w:rsidP="00B04890">
            <w:pPr>
              <w:pStyle w:val="Sinespaciado"/>
              <w:ind w:left="720"/>
              <w:jc w:val="both"/>
              <w:rPr>
                <w:rFonts w:ascii="Arial" w:eastAsia="Calibri" w:hAnsi="Arial" w:cs="Arial"/>
                <w:highlight w:val="yellow"/>
                <w:lang w:val="es-MX"/>
              </w:rPr>
            </w:pPr>
          </w:p>
          <w:p w14:paraId="171A0294"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A su vez, dicha disposición fue recogida por la Ley 2080 de 2021, que reformó la Ley 1437 de 2011, y adicionó el artículo 182 A, señalando como eventos para proferir sentencia anticipada antes de la audiencia inicial, los siguientes: </w:t>
            </w:r>
          </w:p>
          <w:p w14:paraId="5BE1B218" w14:textId="77777777" w:rsidR="00B04890" w:rsidRPr="00B04890" w:rsidRDefault="00B04890" w:rsidP="00B04890">
            <w:pPr>
              <w:pStyle w:val="Sinespaciado"/>
              <w:ind w:left="720"/>
              <w:jc w:val="both"/>
              <w:rPr>
                <w:rFonts w:ascii="Arial" w:eastAsia="Calibri" w:hAnsi="Arial" w:cs="Arial"/>
                <w:highlight w:val="yellow"/>
                <w:lang w:val="es-MX"/>
              </w:rPr>
            </w:pPr>
          </w:p>
          <w:p w14:paraId="7C7A23BF"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“a) Cuando se trate de asuntos de puro derecho; </w:t>
            </w:r>
          </w:p>
          <w:p w14:paraId="74BA5F34"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b) Cuando no haya que practicar pruebas;</w:t>
            </w:r>
          </w:p>
          <w:p w14:paraId="2CE341CE"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c) Cuando solo se solicite tener como pruebas las documentales aportadas con la demanda y la contestación, y sobre ellas no se hubiese formulado tacha o desconocimiento;</w:t>
            </w:r>
          </w:p>
          <w:p w14:paraId="256055AD"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d) Cuando las pruebas solicitadas por las partes sean impertinentes, inconducentes o inútiles.” </w:t>
            </w:r>
          </w:p>
          <w:p w14:paraId="7BC39F84" w14:textId="77777777" w:rsidR="00B04890" w:rsidRPr="00B04890" w:rsidRDefault="00B04890" w:rsidP="00B04890">
            <w:pPr>
              <w:pStyle w:val="Sinespaciado"/>
              <w:ind w:left="720"/>
              <w:jc w:val="both"/>
              <w:rPr>
                <w:rFonts w:ascii="Arial" w:eastAsia="Calibri" w:hAnsi="Arial" w:cs="Arial"/>
                <w:highlight w:val="yellow"/>
                <w:lang w:val="es-MX"/>
              </w:rPr>
            </w:pPr>
          </w:p>
          <w:p w14:paraId="1ACB8AB5" w14:textId="24B29F58" w:rsid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La norma dispone </w:t>
            </w:r>
            <w:proofErr w:type="gramStart"/>
            <w:r w:rsidRPr="00B04890">
              <w:rPr>
                <w:rFonts w:ascii="Arial" w:eastAsia="Calibri" w:hAnsi="Arial" w:cs="Arial"/>
                <w:highlight w:val="yellow"/>
                <w:lang w:val="es-MX"/>
              </w:rPr>
              <w:t>que</w:t>
            </w:r>
            <w:proofErr w:type="gramEnd"/>
            <w:r w:rsidRPr="00B04890">
              <w:rPr>
                <w:rFonts w:ascii="Arial" w:eastAsia="Calibri" w:hAnsi="Arial" w:cs="Arial"/>
                <w:highlight w:val="yellow"/>
                <w:lang w:val="es-MX"/>
              </w:rPr>
              <w:t xml:space="preserve"> en estos eventos, corresponde al juez fijar el litigio objeto de controversia, pronunciarse sobre las pruebas, y correr traslado para alegar</w:t>
            </w:r>
            <w:r w:rsidR="00876001">
              <w:rPr>
                <w:rFonts w:ascii="Arial" w:eastAsia="Calibri" w:hAnsi="Arial" w:cs="Arial"/>
                <w:highlight w:val="yellow"/>
                <w:lang w:val="es-MX"/>
              </w:rPr>
              <w:t>.</w:t>
            </w:r>
          </w:p>
          <w:p w14:paraId="7397CA68" w14:textId="77777777" w:rsidR="00876001" w:rsidRPr="00B04890" w:rsidRDefault="00876001" w:rsidP="00B04890">
            <w:pPr>
              <w:pStyle w:val="Sinespaciado"/>
              <w:ind w:left="720"/>
              <w:jc w:val="both"/>
              <w:rPr>
                <w:rFonts w:ascii="Arial" w:eastAsia="Calibri" w:hAnsi="Arial" w:cs="Arial"/>
                <w:highlight w:val="yellow"/>
                <w:lang w:val="es-MX"/>
              </w:rPr>
            </w:pPr>
          </w:p>
          <w:p w14:paraId="0D95100F"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2.</w:t>
            </w:r>
            <w:r w:rsidRPr="00B04890">
              <w:rPr>
                <w:rFonts w:ascii="Arial" w:eastAsia="Calibri" w:hAnsi="Arial" w:cs="Arial"/>
                <w:highlight w:val="yellow"/>
                <w:lang w:val="es-MX"/>
              </w:rPr>
              <w:tab/>
              <w:t xml:space="preserve">Fijación de litigio. </w:t>
            </w:r>
            <w:proofErr w:type="gramStart"/>
            <w:r w:rsidRPr="00B04890">
              <w:rPr>
                <w:rFonts w:ascii="Arial" w:eastAsia="Calibri" w:hAnsi="Arial" w:cs="Arial"/>
                <w:highlight w:val="yellow"/>
                <w:lang w:val="es-MX"/>
              </w:rPr>
              <w:t>En el caso concreto al despacho le corresponde determinar si es procedente declarar administrativa y patrimonialmente responsable al Municipio de Santiago de Cali, por los perjuicios materiales e inmateriales causados al demandante producto del accidente sufrido el día 19 de septiembre de 2016, con ocasión de un hueco en la vía?</w:t>
            </w:r>
            <w:proofErr w:type="gramEnd"/>
          </w:p>
          <w:p w14:paraId="2A95BBCF" w14:textId="77777777" w:rsidR="00B04890" w:rsidRPr="00B04890" w:rsidRDefault="00B04890" w:rsidP="00B04890">
            <w:pPr>
              <w:pStyle w:val="Sinespaciado"/>
              <w:ind w:left="720"/>
              <w:jc w:val="both"/>
              <w:rPr>
                <w:rFonts w:ascii="Arial" w:eastAsia="Calibri" w:hAnsi="Arial" w:cs="Arial"/>
                <w:highlight w:val="yellow"/>
                <w:lang w:val="es-MX"/>
              </w:rPr>
            </w:pPr>
          </w:p>
          <w:p w14:paraId="4D52BC0E" w14:textId="5C7A4049"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3.</w:t>
            </w:r>
            <w:r w:rsidRPr="00B04890">
              <w:rPr>
                <w:rFonts w:ascii="Arial" w:eastAsia="Calibri" w:hAnsi="Arial" w:cs="Arial"/>
                <w:highlight w:val="yellow"/>
                <w:lang w:val="es-MX"/>
              </w:rPr>
              <w:tab/>
              <w:t>Pruebas solicitadas: En el asunto la parte demandante únicamente solicitó se tengan como pruebas los documentos aportados con la demanda. La parte demandada no se opuso y no solicitó pruebas adicionales.</w:t>
            </w:r>
          </w:p>
          <w:p w14:paraId="7A054657" w14:textId="77777777" w:rsidR="00B04890" w:rsidRPr="00B04890" w:rsidRDefault="00B04890" w:rsidP="00B04890">
            <w:pPr>
              <w:pStyle w:val="Sinespaciado"/>
              <w:ind w:left="720"/>
              <w:jc w:val="both"/>
              <w:rPr>
                <w:rFonts w:ascii="Arial" w:eastAsia="Calibri" w:hAnsi="Arial" w:cs="Arial"/>
                <w:highlight w:val="yellow"/>
                <w:lang w:val="es-MX"/>
              </w:rPr>
            </w:pPr>
          </w:p>
          <w:p w14:paraId="37686EF8"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A su vez, la entidad llamada en garantía, solicitó se tengan como pruebas los documentos aportados en la contestación de la demanda y del llamamiento en garantía.</w:t>
            </w:r>
          </w:p>
          <w:p w14:paraId="3C75E135" w14:textId="77777777" w:rsidR="00B04890" w:rsidRPr="00B04890" w:rsidRDefault="00B04890" w:rsidP="00B04890">
            <w:pPr>
              <w:pStyle w:val="Sinespaciado"/>
              <w:ind w:left="720"/>
              <w:jc w:val="both"/>
              <w:rPr>
                <w:rFonts w:ascii="Arial" w:eastAsia="Calibri" w:hAnsi="Arial" w:cs="Arial"/>
                <w:highlight w:val="yellow"/>
                <w:lang w:val="es-MX"/>
              </w:rPr>
            </w:pPr>
          </w:p>
          <w:p w14:paraId="114D822D"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4.</w:t>
            </w:r>
            <w:r w:rsidRPr="00B04890">
              <w:rPr>
                <w:rFonts w:ascii="Arial" w:eastAsia="Calibri" w:hAnsi="Arial" w:cs="Arial"/>
                <w:highlight w:val="yellow"/>
                <w:lang w:val="es-MX"/>
              </w:rPr>
              <w:tab/>
              <w:t xml:space="preserve">Conclusión. Dado que conforme la fijación del litigio, se trata de un asunto en el que únicamente se solicitaron como pruebas las documentales aportadas con la demanda y su contestación, sobre las cuales no se formuló tacha o desconocimiento por las partes en los términos planteados en los artículos 269 y 272 del C.G.P. es procedente aplicar las normas relativas a sentencia anticipada. En mérito de lo anterior, el Juzgado </w:t>
            </w:r>
          </w:p>
          <w:p w14:paraId="6587BC9B" w14:textId="77777777" w:rsidR="00B04890" w:rsidRPr="00B04890" w:rsidRDefault="00B04890" w:rsidP="00B04890">
            <w:pPr>
              <w:pStyle w:val="Sinespaciado"/>
              <w:ind w:left="720"/>
              <w:jc w:val="both"/>
              <w:rPr>
                <w:rFonts w:ascii="Arial" w:eastAsia="Calibri" w:hAnsi="Arial" w:cs="Arial"/>
                <w:highlight w:val="yellow"/>
                <w:lang w:val="es-MX"/>
              </w:rPr>
            </w:pPr>
          </w:p>
          <w:p w14:paraId="235B725B"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RESUELVE</w:t>
            </w:r>
          </w:p>
          <w:p w14:paraId="063EE40E" w14:textId="77777777" w:rsidR="00B04890" w:rsidRPr="00B04890" w:rsidRDefault="00B04890" w:rsidP="00B04890">
            <w:pPr>
              <w:pStyle w:val="Sinespaciado"/>
              <w:ind w:left="720"/>
              <w:jc w:val="both"/>
              <w:rPr>
                <w:rFonts w:ascii="Arial" w:eastAsia="Calibri" w:hAnsi="Arial" w:cs="Arial"/>
                <w:highlight w:val="yellow"/>
                <w:lang w:val="es-MX"/>
              </w:rPr>
            </w:pPr>
          </w:p>
          <w:p w14:paraId="35BF9C24"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1. Fijar el litigio de la siguiente manera: </w:t>
            </w:r>
            <w:proofErr w:type="gramStart"/>
            <w:r w:rsidRPr="00B04890">
              <w:rPr>
                <w:rFonts w:ascii="Arial" w:eastAsia="Calibri" w:hAnsi="Arial" w:cs="Arial"/>
                <w:highlight w:val="yellow"/>
                <w:lang w:val="es-MX"/>
              </w:rPr>
              <w:t>¿ El</w:t>
            </w:r>
            <w:proofErr w:type="gramEnd"/>
            <w:r w:rsidRPr="00B04890">
              <w:rPr>
                <w:rFonts w:ascii="Arial" w:eastAsia="Calibri" w:hAnsi="Arial" w:cs="Arial"/>
                <w:highlight w:val="yellow"/>
                <w:lang w:val="es-MX"/>
              </w:rPr>
              <w:t xml:space="preserve">  Municipio de Santiago de Cali, es responsable patrimonialmente de  los perjuicios materiales e inmateriales causados al demandante producto del accidente sufrido el día 19 de septiembre de 2016, con ocasión de un hueco en la vía?</w:t>
            </w:r>
          </w:p>
          <w:p w14:paraId="12D5ED9E" w14:textId="77777777" w:rsidR="00B04890" w:rsidRPr="00B04890" w:rsidRDefault="00B04890" w:rsidP="00B04890">
            <w:pPr>
              <w:pStyle w:val="Sinespaciado"/>
              <w:ind w:left="720"/>
              <w:jc w:val="both"/>
              <w:rPr>
                <w:rFonts w:ascii="Arial" w:eastAsia="Calibri" w:hAnsi="Arial" w:cs="Arial"/>
                <w:highlight w:val="yellow"/>
                <w:lang w:val="es-MX"/>
              </w:rPr>
            </w:pPr>
          </w:p>
          <w:p w14:paraId="34098663"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2. Decretar como pruebas las documentales aportadas con la demanda, la contestación y la contestación al llamamiento en garantía.</w:t>
            </w:r>
          </w:p>
          <w:p w14:paraId="6C756272" w14:textId="77777777" w:rsidR="00B04890" w:rsidRPr="00B04890" w:rsidRDefault="00B04890" w:rsidP="00B04890">
            <w:pPr>
              <w:pStyle w:val="Sinespaciado"/>
              <w:ind w:left="720"/>
              <w:jc w:val="both"/>
              <w:rPr>
                <w:rFonts w:ascii="Arial" w:eastAsia="Calibri" w:hAnsi="Arial" w:cs="Arial"/>
                <w:highlight w:val="yellow"/>
                <w:lang w:val="es-MX"/>
              </w:rPr>
            </w:pPr>
          </w:p>
          <w:p w14:paraId="6E4EB17D" w14:textId="248687A9"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 xml:space="preserve">3. </w:t>
            </w:r>
            <w:r w:rsidR="00876001">
              <w:rPr>
                <w:rFonts w:ascii="Arial" w:eastAsia="Calibri" w:hAnsi="Arial" w:cs="Arial"/>
                <w:highlight w:val="yellow"/>
                <w:lang w:val="es-MX"/>
              </w:rPr>
              <w:t>C</w:t>
            </w:r>
            <w:r w:rsidRPr="00B04890">
              <w:rPr>
                <w:rFonts w:ascii="Arial" w:eastAsia="Calibri" w:hAnsi="Arial" w:cs="Arial"/>
                <w:highlight w:val="yellow"/>
                <w:lang w:val="es-MX"/>
              </w:rPr>
              <w:t xml:space="preserve">orrer traslado para alegar en la forma prevista en el inciso final del artículo 181 </w:t>
            </w:r>
            <w:proofErr w:type="gramStart"/>
            <w:r w:rsidRPr="00B04890">
              <w:rPr>
                <w:rFonts w:ascii="Arial" w:eastAsia="Calibri" w:hAnsi="Arial" w:cs="Arial"/>
                <w:highlight w:val="yellow"/>
                <w:lang w:val="es-MX"/>
              </w:rPr>
              <w:t>de  la</w:t>
            </w:r>
            <w:proofErr w:type="gramEnd"/>
            <w:r w:rsidRPr="00B04890">
              <w:rPr>
                <w:rFonts w:ascii="Arial" w:eastAsia="Calibri" w:hAnsi="Arial" w:cs="Arial"/>
                <w:highlight w:val="yellow"/>
                <w:lang w:val="es-MX"/>
              </w:rPr>
              <w:t xml:space="preserve"> Ley 1437 de 2011, otorgándose a las partes diez (10) días para presentar alegatos de conclusión, termino dentro del cual el Ministerio Público podrá presentar su concepto. El término otorgado para presentar alegatos comenzará a correr una vez en firme la presente decisión, debiéndose garantizar a través de Secretaría, </w:t>
            </w:r>
            <w:proofErr w:type="gramStart"/>
            <w:r w:rsidRPr="00B04890">
              <w:rPr>
                <w:rFonts w:ascii="Arial" w:eastAsia="Calibri" w:hAnsi="Arial" w:cs="Arial"/>
                <w:highlight w:val="yellow"/>
                <w:lang w:val="es-MX"/>
              </w:rPr>
              <w:t>que  las</w:t>
            </w:r>
            <w:proofErr w:type="gramEnd"/>
            <w:r w:rsidRPr="00B04890">
              <w:rPr>
                <w:rFonts w:ascii="Arial" w:eastAsia="Calibri" w:hAnsi="Arial" w:cs="Arial"/>
                <w:highlight w:val="yellow"/>
                <w:lang w:val="es-MX"/>
              </w:rPr>
              <w:t xml:space="preserve"> partes tengan acceso al expediente virtual.  </w:t>
            </w:r>
          </w:p>
          <w:p w14:paraId="5BFBEED6" w14:textId="77777777" w:rsidR="00B04890" w:rsidRPr="00B04890" w:rsidRDefault="00B04890" w:rsidP="00B04890">
            <w:pPr>
              <w:pStyle w:val="Sinespaciado"/>
              <w:ind w:left="720"/>
              <w:jc w:val="both"/>
              <w:rPr>
                <w:rFonts w:ascii="Arial" w:eastAsia="Calibri" w:hAnsi="Arial" w:cs="Arial"/>
                <w:highlight w:val="yellow"/>
                <w:lang w:val="es-MX"/>
              </w:rPr>
            </w:pPr>
          </w:p>
          <w:p w14:paraId="6B066D45"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Cumplido lo anterior, la sentencia se expedirá por escrito.</w:t>
            </w:r>
          </w:p>
          <w:p w14:paraId="709ACEA0" w14:textId="77777777" w:rsidR="00B04890" w:rsidRPr="00B04890" w:rsidRDefault="00B04890" w:rsidP="00B04890">
            <w:pPr>
              <w:pStyle w:val="Sinespaciado"/>
              <w:ind w:left="720"/>
              <w:jc w:val="both"/>
              <w:rPr>
                <w:rFonts w:ascii="Arial" w:eastAsia="Calibri" w:hAnsi="Arial" w:cs="Arial"/>
                <w:highlight w:val="yellow"/>
                <w:lang w:val="es-MX"/>
              </w:rPr>
            </w:pPr>
          </w:p>
          <w:p w14:paraId="7DF5B2F4"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4. ACEPTAR la renuncia de poder en calidad de apoderada del Municipio de Santiago de Cali, realizada por parte de la doctora LUCRECIA MIREYA CUERO CAICEDO.</w:t>
            </w:r>
          </w:p>
          <w:p w14:paraId="55DF2AF5" w14:textId="77777777" w:rsidR="00B04890" w:rsidRPr="00B04890" w:rsidRDefault="00B04890" w:rsidP="00B04890">
            <w:pPr>
              <w:pStyle w:val="Sinespaciado"/>
              <w:ind w:left="720"/>
              <w:jc w:val="both"/>
              <w:rPr>
                <w:rFonts w:ascii="Arial" w:eastAsia="Calibri" w:hAnsi="Arial" w:cs="Arial"/>
                <w:highlight w:val="yellow"/>
                <w:lang w:val="es-MX"/>
              </w:rPr>
            </w:pPr>
          </w:p>
          <w:p w14:paraId="6D7FDDA1" w14:textId="77777777" w:rsidR="00B04890" w:rsidRPr="00B04890" w:rsidRDefault="00B04890" w:rsidP="00B04890">
            <w:pPr>
              <w:pStyle w:val="Sinespaciado"/>
              <w:ind w:left="720"/>
              <w:jc w:val="both"/>
              <w:rPr>
                <w:rFonts w:ascii="Arial" w:eastAsia="Calibri" w:hAnsi="Arial" w:cs="Arial"/>
                <w:highlight w:val="yellow"/>
                <w:lang w:val="es-MX"/>
              </w:rPr>
            </w:pPr>
            <w:r w:rsidRPr="00B04890">
              <w:rPr>
                <w:rFonts w:ascii="Arial" w:eastAsia="Calibri" w:hAnsi="Arial" w:cs="Arial"/>
                <w:highlight w:val="yellow"/>
                <w:lang w:val="es-MX"/>
              </w:rPr>
              <w:t>5. NOTIFICAR la presente decisión a las partes y al Ministerio Público, mediante inserción en estado, según lo dispone el artículo 201 de la Ley 1437 de 2011.</w:t>
            </w:r>
          </w:p>
          <w:p w14:paraId="5D666784" w14:textId="77777777" w:rsidR="00B04890" w:rsidRPr="00B04890" w:rsidRDefault="00B04890" w:rsidP="00B04890">
            <w:pPr>
              <w:pStyle w:val="Sinespaciado"/>
              <w:ind w:left="720"/>
              <w:jc w:val="both"/>
              <w:rPr>
                <w:rFonts w:ascii="Arial" w:eastAsia="Calibri" w:hAnsi="Arial" w:cs="Arial"/>
                <w:highlight w:val="yellow"/>
                <w:lang w:val="es-MX"/>
              </w:rPr>
            </w:pPr>
          </w:p>
          <w:p w14:paraId="3C9E20E0" w14:textId="77777777" w:rsidR="00B04890" w:rsidRPr="00B04890" w:rsidRDefault="00B04890" w:rsidP="00B04890">
            <w:pPr>
              <w:pStyle w:val="Sinespaciado"/>
              <w:ind w:left="720"/>
              <w:jc w:val="both"/>
              <w:rPr>
                <w:rFonts w:ascii="Arial" w:eastAsia="Calibri" w:hAnsi="Arial" w:cs="Arial"/>
                <w:highlight w:val="yellow"/>
                <w:lang w:val="es-MX"/>
              </w:rPr>
            </w:pPr>
          </w:p>
          <w:p w14:paraId="5436CD93" w14:textId="195FF6C3" w:rsidR="008727A9" w:rsidRDefault="00B04890" w:rsidP="00B04890">
            <w:pPr>
              <w:pStyle w:val="Sinespaciado"/>
              <w:ind w:left="720"/>
              <w:jc w:val="both"/>
              <w:rPr>
                <w:rFonts w:ascii="Arial" w:eastAsia="Calibri" w:hAnsi="Arial" w:cs="Arial"/>
                <w:lang w:val="es-MX"/>
              </w:rPr>
            </w:pPr>
            <w:r w:rsidRPr="00B04890">
              <w:rPr>
                <w:rFonts w:ascii="Arial" w:eastAsia="Calibri" w:hAnsi="Arial" w:cs="Arial"/>
                <w:highlight w:val="yellow"/>
                <w:lang w:val="es-MX"/>
              </w:rPr>
              <w:t>NOTIFÍQUESE y CÚMPLASE,</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3E69B21"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000E6C2" w14:textId="77777777" w:rsidR="00B86F77" w:rsidRDefault="00B86F77" w:rsidP="00B86F77">
            <w:pPr>
              <w:pStyle w:val="Prrafodelista"/>
              <w:rPr>
                <w:rFonts w:ascii="Arial" w:eastAsia="Calibri" w:hAnsi="Arial" w:cs="Arial"/>
                <w:lang w:val="es-MX"/>
              </w:rPr>
            </w:pP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lastRenderedPageBreak/>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lastRenderedPageBreak/>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642A4" w14:textId="77777777" w:rsidR="000471CA" w:rsidRDefault="000471CA">
      <w:pPr>
        <w:spacing w:after="0" w:line="240" w:lineRule="auto"/>
      </w:pPr>
      <w:r>
        <w:separator/>
      </w:r>
    </w:p>
  </w:endnote>
  <w:endnote w:type="continuationSeparator" w:id="0">
    <w:p w14:paraId="5C61DCD2" w14:textId="77777777" w:rsidR="000471CA" w:rsidRDefault="0004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471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471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7A6D" w14:textId="77777777" w:rsidR="000471CA" w:rsidRDefault="000471CA">
      <w:pPr>
        <w:spacing w:after="0" w:line="240" w:lineRule="auto"/>
      </w:pPr>
      <w:r>
        <w:separator/>
      </w:r>
    </w:p>
  </w:footnote>
  <w:footnote w:type="continuationSeparator" w:id="0">
    <w:p w14:paraId="561EC918" w14:textId="77777777" w:rsidR="000471CA" w:rsidRDefault="00047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471CA"/>
    <w:rsid w:val="000D6A0D"/>
    <w:rsid w:val="000F105D"/>
    <w:rsid w:val="00127C6E"/>
    <w:rsid w:val="001843AA"/>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5D796F"/>
    <w:rsid w:val="006E320B"/>
    <w:rsid w:val="00764314"/>
    <w:rsid w:val="007A7DED"/>
    <w:rsid w:val="007D59E3"/>
    <w:rsid w:val="00823B31"/>
    <w:rsid w:val="00857522"/>
    <w:rsid w:val="008727A9"/>
    <w:rsid w:val="00876001"/>
    <w:rsid w:val="00926ADA"/>
    <w:rsid w:val="00965363"/>
    <w:rsid w:val="0096597C"/>
    <w:rsid w:val="009E3199"/>
    <w:rsid w:val="00A461DF"/>
    <w:rsid w:val="00A62E46"/>
    <w:rsid w:val="00B04890"/>
    <w:rsid w:val="00B47DA4"/>
    <w:rsid w:val="00B713D2"/>
    <w:rsid w:val="00B86F77"/>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1595</Words>
  <Characters>8777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11 Administrativo - Valle Del Cauca - Cali</cp:lastModifiedBy>
  <cp:revision>4</cp:revision>
  <dcterms:created xsi:type="dcterms:W3CDTF">2021-09-06T02:35:00Z</dcterms:created>
  <dcterms:modified xsi:type="dcterms:W3CDTF">2021-09-06T02:54:00Z</dcterms:modified>
</cp:coreProperties>
</file>