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47D" w:rsidRPr="00BC0560" w:rsidRDefault="0065447D" w:rsidP="0065447D">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65447D" w:rsidRPr="00BC0560" w:rsidRDefault="0065447D" w:rsidP="0065447D">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65447D" w:rsidRPr="00BC0560" w:rsidRDefault="0065447D" w:rsidP="0065447D">
      <w:pPr>
        <w:spacing w:after="0" w:line="240" w:lineRule="auto"/>
        <w:rPr>
          <w:rFonts w:ascii="Times New Roman" w:eastAsia="Times New Roman" w:hAnsi="Times New Roman" w:cs="Times New Roman"/>
          <w:sz w:val="24"/>
          <w:szCs w:val="24"/>
          <w:lang w:eastAsia="es-CO"/>
        </w:rPr>
      </w:pPr>
    </w:p>
    <w:p w:rsidR="0065447D" w:rsidRPr="00BC0560" w:rsidRDefault="0065447D" w:rsidP="0065447D">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65447D" w:rsidRPr="00BC0560" w:rsidRDefault="0065447D" w:rsidP="0065447D">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65447D" w:rsidRPr="00BC0560" w:rsidRDefault="0065447D" w:rsidP="0065447D">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65447D" w:rsidRPr="00BC0560" w:rsidRDefault="0065447D" w:rsidP="0065447D">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65447D" w:rsidRPr="00BC0560" w:rsidRDefault="0065447D" w:rsidP="0065447D">
      <w:pPr>
        <w:spacing w:after="0" w:line="240" w:lineRule="auto"/>
        <w:rPr>
          <w:rFonts w:ascii="Times New Roman" w:eastAsia="Times New Roman" w:hAnsi="Times New Roman" w:cs="Times New Roman"/>
          <w:sz w:val="24"/>
          <w:szCs w:val="24"/>
          <w:lang w:eastAsia="es-CO"/>
        </w:rPr>
      </w:pPr>
    </w:p>
    <w:p w:rsidR="0065447D" w:rsidRPr="00BC0560" w:rsidRDefault="0065447D" w:rsidP="00B54539">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121365" w:rsidRPr="00121365">
        <w:rPr>
          <w:rFonts w:ascii="Arial" w:eastAsia="Times New Roman" w:hAnsi="Arial" w:cs="Arial"/>
          <w:b/>
          <w:color w:val="000000"/>
          <w:lang w:eastAsia="es-CO"/>
        </w:rPr>
        <w:t>MANUEL ALFONSO ALMANZA LEMUS</w:t>
      </w:r>
    </w:p>
    <w:p w:rsidR="0065447D" w:rsidRPr="00BC0560" w:rsidRDefault="0065447D" w:rsidP="00B54539">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121365" w:rsidRPr="00121365">
        <w:rPr>
          <w:rFonts w:ascii="Arial" w:eastAsia="Times New Roman" w:hAnsi="Arial" w:cs="Arial"/>
          <w:b/>
          <w:color w:val="000000"/>
          <w:lang w:eastAsia="es-CO"/>
        </w:rPr>
        <w:t>05 DE SEPTIEMBRE DE 2021</w:t>
      </w:r>
      <w:r w:rsidRPr="00BC0560">
        <w:rPr>
          <w:rFonts w:ascii="Arial" w:eastAsia="Times New Roman" w:hAnsi="Arial" w:cs="Arial"/>
          <w:color w:val="000000"/>
          <w:lang w:eastAsia="es-CO"/>
        </w:rPr>
        <w:t> </w:t>
      </w:r>
    </w:p>
    <w:p w:rsidR="0065447D" w:rsidRPr="00BC0560" w:rsidRDefault="0065447D" w:rsidP="00B54539">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Nulidad y Restablecimiento del Derecho</w:t>
      </w:r>
    </w:p>
    <w:p w:rsidR="0065447D" w:rsidRPr="00BC0560" w:rsidRDefault="0065447D" w:rsidP="00B54539">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sidR="00F07C8A" w:rsidRPr="00121365">
        <w:rPr>
          <w:rFonts w:ascii="Arial" w:eastAsia="Times New Roman" w:hAnsi="Arial" w:cs="Arial"/>
          <w:b/>
          <w:color w:val="000000"/>
          <w:lang w:eastAsia="es-CO"/>
        </w:rPr>
        <w:t>JORGE ELIECER MARTINEZ VALDERRAMA</w:t>
      </w:r>
    </w:p>
    <w:p w:rsidR="00121365" w:rsidRPr="00121365" w:rsidRDefault="0065447D" w:rsidP="00B54539">
      <w:pPr>
        <w:spacing w:after="0" w:line="240" w:lineRule="auto"/>
        <w:jc w:val="both"/>
        <w:rPr>
          <w:rFonts w:ascii="Arial" w:eastAsia="Times New Roman" w:hAnsi="Arial" w:cs="Arial"/>
          <w:b/>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sidR="00F07C8A" w:rsidRPr="00121365">
        <w:rPr>
          <w:rFonts w:ascii="Arial" w:eastAsia="Times New Roman" w:hAnsi="Arial" w:cs="Arial"/>
          <w:b/>
          <w:color w:val="000000"/>
          <w:lang w:eastAsia="es-CO"/>
        </w:rPr>
        <w:t>NACIÓN – MINISTERIO DE EDUACIÓN NACIONAL – FOMAG – D.</w:t>
      </w:r>
      <w:r w:rsidR="00121365" w:rsidRPr="00121365">
        <w:rPr>
          <w:rFonts w:ascii="Arial" w:eastAsia="Times New Roman" w:hAnsi="Arial" w:cs="Arial"/>
          <w:b/>
          <w:color w:val="000000"/>
          <w:lang w:eastAsia="es-CO"/>
        </w:rPr>
        <w:t xml:space="preserve">E.I.P.   </w:t>
      </w:r>
    </w:p>
    <w:p w:rsidR="0065447D" w:rsidRDefault="00121365" w:rsidP="00B54539">
      <w:pPr>
        <w:spacing w:after="0" w:line="240" w:lineRule="auto"/>
        <w:jc w:val="both"/>
        <w:rPr>
          <w:rFonts w:ascii="Arial" w:eastAsia="Times New Roman" w:hAnsi="Arial" w:cs="Arial"/>
          <w:color w:val="000000"/>
          <w:lang w:eastAsia="es-CO"/>
        </w:rPr>
      </w:pPr>
      <w:r w:rsidRPr="00121365">
        <w:rPr>
          <w:rFonts w:ascii="Arial" w:eastAsia="Times New Roman" w:hAnsi="Arial" w:cs="Arial"/>
          <w:b/>
          <w:color w:val="000000"/>
          <w:lang w:eastAsia="es-CO"/>
        </w:rPr>
        <w:t xml:space="preserve">                      DE </w:t>
      </w:r>
      <w:r w:rsidR="00F07C8A" w:rsidRPr="00121365">
        <w:rPr>
          <w:rFonts w:ascii="Arial" w:eastAsia="Times New Roman" w:hAnsi="Arial" w:cs="Arial"/>
          <w:b/>
          <w:color w:val="000000"/>
          <w:lang w:eastAsia="es-CO"/>
        </w:rPr>
        <w:t>BARANQUILLA – SECRETARIA DE EDUACIÓN DISTRITAL</w:t>
      </w:r>
      <w:r w:rsidR="0065447D">
        <w:rPr>
          <w:rFonts w:ascii="Arial" w:eastAsia="Times New Roman" w:hAnsi="Arial" w:cs="Arial"/>
          <w:color w:val="000000"/>
          <w:lang w:eastAsia="es-CO"/>
        </w:rPr>
        <w:t xml:space="preserve"> </w:t>
      </w:r>
    </w:p>
    <w:p w:rsidR="0065447D" w:rsidRPr="00BC0560" w:rsidRDefault="0065447D" w:rsidP="00B54539">
      <w:pPr>
        <w:spacing w:after="0" w:line="240" w:lineRule="auto"/>
        <w:jc w:val="both"/>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Pr="00121365">
        <w:rPr>
          <w:rFonts w:ascii="Arial" w:hAnsi="Arial" w:cs="Arial"/>
          <w:b/>
        </w:rPr>
        <w:t>08001</w:t>
      </w:r>
      <w:r w:rsidRPr="00121365">
        <w:rPr>
          <w:rFonts w:ascii="Arial" w:hAnsi="Arial" w:cs="Arial"/>
          <w:b/>
        </w:rPr>
        <w:t>31</w:t>
      </w:r>
      <w:r w:rsidRPr="00121365">
        <w:rPr>
          <w:rFonts w:ascii="Arial" w:hAnsi="Arial" w:cs="Arial"/>
          <w:b/>
        </w:rPr>
        <w:t>33</w:t>
      </w:r>
      <w:r w:rsidRPr="00121365">
        <w:rPr>
          <w:rFonts w:ascii="Arial" w:hAnsi="Arial" w:cs="Arial"/>
          <w:b/>
        </w:rPr>
        <w:t>01320</w:t>
      </w:r>
      <w:r w:rsidR="00F07C8A" w:rsidRPr="00121365">
        <w:rPr>
          <w:rFonts w:ascii="Arial" w:hAnsi="Arial" w:cs="Arial"/>
          <w:b/>
        </w:rPr>
        <w:t>10</w:t>
      </w:r>
      <w:r w:rsidRPr="00121365">
        <w:rPr>
          <w:rFonts w:ascii="Arial" w:hAnsi="Arial" w:cs="Arial"/>
          <w:b/>
        </w:rPr>
        <w:t>00</w:t>
      </w:r>
      <w:r w:rsidR="00F07C8A" w:rsidRPr="00121365">
        <w:rPr>
          <w:rFonts w:ascii="Arial" w:hAnsi="Arial" w:cs="Arial"/>
          <w:b/>
        </w:rPr>
        <w:t>014</w:t>
      </w:r>
      <w:r w:rsidRPr="00121365">
        <w:rPr>
          <w:rFonts w:ascii="Arial" w:hAnsi="Arial" w:cs="Arial"/>
          <w:b/>
        </w:rPr>
        <w:t>00</w:t>
      </w:r>
    </w:p>
    <w:p w:rsidR="0065447D" w:rsidRPr="00BC0560" w:rsidRDefault="0065447D" w:rsidP="00B54539">
      <w:pPr>
        <w:spacing w:after="240" w:line="240" w:lineRule="auto"/>
        <w:jc w:val="both"/>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65447D"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447D" w:rsidRPr="00BC0560" w:rsidRDefault="0065447D" w:rsidP="00D500BA">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xml:space="preserve">Verifique que el término de traslado de la demanda se encuentra vencido y que no hay excepciones previas que resolver o no se advierta el incumplimiento de requisitos de </w:t>
            </w:r>
            <w:proofErr w:type="spellStart"/>
            <w:r w:rsidRPr="00BC0560">
              <w:rPr>
                <w:rFonts w:ascii="Arial" w:eastAsia="Times New Roman" w:hAnsi="Arial" w:cs="Arial"/>
                <w:color w:val="000000"/>
                <w:lang w:eastAsia="es-CO"/>
              </w:rPr>
              <w:t>procedibilidad</w:t>
            </w:r>
            <w:proofErr w:type="spellEnd"/>
            <w:r w:rsidRPr="00BC0560">
              <w:rPr>
                <w:rFonts w:ascii="Arial" w:eastAsia="Times New Roman" w:hAnsi="Arial" w:cs="Arial"/>
                <w:color w:val="000000"/>
                <w:lang w:eastAsia="es-CO"/>
              </w:rPr>
              <w:t>.</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1339ED" w:rsidRDefault="0065447D" w:rsidP="001339ED">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1339ED" w:rsidRDefault="001339ED" w:rsidP="001339ED">
            <w:pPr>
              <w:spacing w:after="0" w:line="240" w:lineRule="auto"/>
              <w:rPr>
                <w:rFonts w:ascii="Times New Roman" w:eastAsia="Times New Roman" w:hAnsi="Times New Roman" w:cs="Times New Roman"/>
                <w:sz w:val="24"/>
                <w:szCs w:val="24"/>
                <w:lang w:eastAsia="es-CO"/>
              </w:rPr>
            </w:pPr>
          </w:p>
          <w:p w:rsidR="0065447D" w:rsidRPr="001339ED" w:rsidRDefault="0065447D" w:rsidP="00F07C8A">
            <w:pPr>
              <w:spacing w:after="240" w:line="240" w:lineRule="auto"/>
              <w:jc w:val="both"/>
              <w:rPr>
                <w:rFonts w:ascii="Arial" w:eastAsia="Times New Roman" w:hAnsi="Arial" w:cs="Arial"/>
                <w:szCs w:val="24"/>
                <w:highlight w:val="yellow"/>
                <w:lang w:eastAsia="es-CO"/>
              </w:rPr>
            </w:pPr>
            <w:r w:rsidRPr="001339ED">
              <w:rPr>
                <w:rFonts w:ascii="Arial" w:eastAsia="Times New Roman" w:hAnsi="Arial" w:cs="Arial"/>
                <w:b/>
                <w:szCs w:val="24"/>
                <w:highlight w:val="yellow"/>
                <w:lang w:eastAsia="es-CO"/>
              </w:rPr>
              <w:t>Respuesta:</w:t>
            </w:r>
            <w:r w:rsidRPr="001339ED">
              <w:rPr>
                <w:rFonts w:ascii="Arial" w:eastAsia="Times New Roman" w:hAnsi="Arial" w:cs="Arial"/>
                <w:szCs w:val="24"/>
                <w:highlight w:val="yellow"/>
                <w:lang w:eastAsia="es-CO"/>
              </w:rPr>
              <w:t xml:space="preserve"> Una vez examinada íntegramente </w:t>
            </w:r>
            <w:r w:rsidR="00F07C8A" w:rsidRPr="001339ED">
              <w:rPr>
                <w:rFonts w:ascii="Arial" w:eastAsia="Times New Roman" w:hAnsi="Arial" w:cs="Arial"/>
                <w:szCs w:val="24"/>
                <w:highlight w:val="yellow"/>
                <w:lang w:eastAsia="es-CO"/>
              </w:rPr>
              <w:t xml:space="preserve">la demanda, se tiene que en el proceso de marras venció el termino de contestación de la demanda, por lo que, por secretaria, se corrió el traslado de las excepciones propuestas sin que la parte actora haya realizado pronunciamiento alguno respecto de la mismas.  </w:t>
            </w:r>
          </w:p>
          <w:p w:rsidR="00F07C8A" w:rsidRPr="00F07C8A" w:rsidRDefault="00F07C8A" w:rsidP="00F07C8A">
            <w:pPr>
              <w:spacing w:after="240" w:line="240" w:lineRule="auto"/>
              <w:jc w:val="both"/>
              <w:rPr>
                <w:rFonts w:ascii="Arial" w:eastAsia="Times New Roman" w:hAnsi="Arial" w:cs="Arial"/>
                <w:b/>
                <w:szCs w:val="24"/>
                <w:lang w:eastAsia="es-CO"/>
              </w:rPr>
            </w:pPr>
            <w:r w:rsidRPr="001339ED">
              <w:rPr>
                <w:rFonts w:ascii="Arial" w:eastAsia="Times New Roman" w:hAnsi="Arial" w:cs="Arial"/>
                <w:szCs w:val="24"/>
                <w:highlight w:val="yellow"/>
                <w:lang w:eastAsia="es-CO"/>
              </w:rPr>
              <w:t xml:space="preserve">En este sentido, se procedió a resolver las excepciones previas </w:t>
            </w:r>
            <w:r w:rsidRPr="001339ED">
              <w:rPr>
                <w:rFonts w:ascii="Arial" w:eastAsia="Times New Roman" w:hAnsi="Arial" w:cs="Arial"/>
                <w:b/>
                <w:szCs w:val="24"/>
                <w:highlight w:val="yellow"/>
                <w:lang w:eastAsia="es-CO"/>
              </w:rPr>
              <w:t>(falta de integración d litisconsorcio necesario)</w:t>
            </w:r>
            <w:r w:rsidRPr="001339ED">
              <w:rPr>
                <w:rFonts w:ascii="Arial" w:eastAsia="Times New Roman" w:hAnsi="Arial" w:cs="Arial"/>
                <w:szCs w:val="24"/>
                <w:highlight w:val="yellow"/>
                <w:lang w:eastAsia="es-CO"/>
              </w:rPr>
              <w:t xml:space="preserve"> y perentorias nominadas </w:t>
            </w:r>
            <w:r w:rsidRPr="001339ED">
              <w:rPr>
                <w:rFonts w:ascii="Arial" w:eastAsia="Times New Roman" w:hAnsi="Arial" w:cs="Arial"/>
                <w:b/>
                <w:szCs w:val="24"/>
                <w:highlight w:val="yellow"/>
                <w:lang w:eastAsia="es-CO"/>
              </w:rPr>
              <w:t>(</w:t>
            </w:r>
            <w:r w:rsidR="00AE5E47" w:rsidRPr="001339ED">
              <w:rPr>
                <w:rFonts w:ascii="Arial" w:eastAsia="Times New Roman" w:hAnsi="Arial" w:cs="Arial"/>
                <w:b/>
                <w:szCs w:val="24"/>
                <w:highlight w:val="yellow"/>
                <w:lang w:eastAsia="es-CO"/>
              </w:rPr>
              <w:t>caducidad)</w:t>
            </w:r>
            <w:r w:rsidR="00AE5E47" w:rsidRPr="001339ED">
              <w:rPr>
                <w:rFonts w:ascii="Arial" w:eastAsia="Times New Roman" w:hAnsi="Arial" w:cs="Arial"/>
                <w:szCs w:val="24"/>
                <w:highlight w:val="yellow"/>
                <w:lang w:eastAsia="es-CO"/>
              </w:rPr>
              <w:t xml:space="preserve"> de</w:t>
            </w:r>
            <w:r w:rsidRPr="001339ED">
              <w:rPr>
                <w:rFonts w:ascii="Arial" w:eastAsia="Times New Roman" w:hAnsi="Arial" w:cs="Arial"/>
                <w:szCs w:val="24"/>
                <w:highlight w:val="yellow"/>
                <w:lang w:eastAsia="es-CO"/>
              </w:rPr>
              <w:t xml:space="preserve"> conformidad a lo establecido en el artículo 175 de la ley 1437 de 2011, reformada por la Ley 2080 de 2021</w:t>
            </w:r>
            <w:r w:rsidR="00AE5E47" w:rsidRPr="001339ED">
              <w:rPr>
                <w:rFonts w:ascii="Arial" w:eastAsia="Times New Roman" w:hAnsi="Arial" w:cs="Arial"/>
                <w:szCs w:val="24"/>
                <w:highlight w:val="yellow"/>
                <w:lang w:eastAsia="es-CO"/>
              </w:rPr>
              <w:t>, sin que prosperara alguna de las excepciones aludidas</w:t>
            </w:r>
            <w:r w:rsidRPr="001339ED">
              <w:rPr>
                <w:rFonts w:ascii="Arial" w:eastAsia="Times New Roman" w:hAnsi="Arial" w:cs="Arial"/>
                <w:szCs w:val="24"/>
                <w:highlight w:val="yellow"/>
                <w:lang w:eastAsia="es-CO"/>
              </w:rPr>
              <w:t>.</w:t>
            </w:r>
            <w:r>
              <w:rPr>
                <w:rFonts w:ascii="Arial" w:eastAsia="Times New Roman" w:hAnsi="Arial" w:cs="Arial"/>
                <w:szCs w:val="24"/>
                <w:lang w:eastAsia="es-CO"/>
              </w:rPr>
              <w:t xml:space="preserve"> </w:t>
            </w: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65447D"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447D" w:rsidRPr="00BC0560" w:rsidRDefault="0065447D" w:rsidP="00D500BA">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Pr>
                <w:rFonts w:ascii="Arial" w:eastAsia="Times New Roman" w:hAnsi="Arial" w:cs="Arial"/>
                <w:i/>
                <w:iCs/>
                <w:color w:val="000000"/>
                <w:lang w:eastAsia="es-CO"/>
              </w:rPr>
              <w:t xml:space="preserve"> _</w:t>
            </w:r>
            <w:r w:rsidR="00AE5E47">
              <w:rPr>
                <w:rFonts w:ascii="Arial Unicode MS" w:hAnsi="Arial Unicode MS" w:cs="Arial Unicode MS"/>
                <w:color w:val="363636"/>
                <w:sz w:val="36"/>
                <w:szCs w:val="36"/>
                <w:shd w:val="clear" w:color="auto" w:fill="FFFFFF"/>
              </w:rPr>
              <w:t>_</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Pr="00AE5E47">
              <w:rPr>
                <w:rFonts w:ascii="Arial" w:eastAsia="Times New Roman" w:hAnsi="Arial" w:cs="Arial"/>
                <w:b/>
                <w:i/>
                <w:iCs/>
                <w:color w:val="000000"/>
                <w:lang w:eastAsia="es-CO"/>
              </w:rPr>
              <w:t>_____</w:t>
            </w:r>
            <w:r w:rsidRPr="00BC0560">
              <w:rPr>
                <w:rFonts w:ascii="Arial" w:eastAsia="Times New Roman" w:hAnsi="Arial" w:cs="Arial"/>
                <w:i/>
                <w:iCs/>
                <w:color w:val="000000"/>
                <w:lang w:eastAsia="es-CO"/>
              </w:rPr>
              <w:t>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r w:rsidR="00AE5E47">
              <w:rPr>
                <w:rFonts w:ascii="Arial" w:eastAsia="Times New Roman" w:hAnsi="Arial" w:cs="Arial"/>
                <w:i/>
                <w:iCs/>
                <w:color w:val="000000"/>
                <w:lang w:eastAsia="es-CO"/>
              </w:rPr>
              <w:t>desconocimiento; </w:t>
            </w:r>
            <w:r w:rsidRPr="001339ED">
              <w:rPr>
                <w:rFonts w:ascii="Arial" w:eastAsia="Times New Roman" w:hAnsi="Arial" w:cs="Arial"/>
                <w:b/>
                <w:i/>
                <w:iCs/>
                <w:color w:val="000000"/>
                <w:highlight w:val="yellow"/>
                <w:lang w:eastAsia="es-CO"/>
              </w:rPr>
              <w:t>__</w:t>
            </w:r>
            <w:r w:rsidR="00AE5E47" w:rsidRPr="001339ED">
              <w:rPr>
                <w:rFonts w:ascii="Arial" w:eastAsia="Times New Roman" w:hAnsi="Arial" w:cs="Arial"/>
                <w:b/>
                <w:i/>
                <w:iCs/>
                <w:color w:val="000000"/>
                <w:highlight w:val="yellow"/>
                <w:u w:val="single"/>
                <w:lang w:eastAsia="es-CO"/>
              </w:rPr>
              <w:t>X</w:t>
            </w:r>
            <w:r w:rsidRPr="001339ED">
              <w:rPr>
                <w:rFonts w:ascii="Arial" w:eastAsia="Times New Roman" w:hAnsi="Arial" w:cs="Arial"/>
                <w:b/>
                <w:i/>
                <w:iCs/>
                <w:color w:val="000000"/>
                <w:highlight w:val="yellow"/>
                <w:u w:val="single"/>
                <w:lang w:eastAsia="es-CO"/>
              </w:rPr>
              <w:t>_</w:t>
            </w:r>
            <w:r w:rsidR="00AE5E47" w:rsidRPr="001339ED">
              <w:rPr>
                <w:rFonts w:ascii="Arial" w:eastAsia="Times New Roman" w:hAnsi="Arial" w:cs="Arial"/>
                <w:b/>
                <w:i/>
                <w:iCs/>
                <w:color w:val="000000"/>
                <w:highlight w:val="yellow"/>
                <w:lang w:eastAsia="es-CO"/>
              </w:rPr>
              <w:t>_</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Default="0065447D" w:rsidP="00D500B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r w:rsidR="001339ED" w:rsidRPr="001339ED">
              <w:rPr>
                <w:rFonts w:ascii="Arial" w:eastAsia="Times New Roman" w:hAnsi="Arial" w:cs="Arial"/>
                <w:b/>
                <w:i/>
                <w:color w:val="000000"/>
                <w:highlight w:val="yellow"/>
                <w:u w:val="single"/>
                <w:lang w:eastAsia="es-CO"/>
              </w:rPr>
              <w:t>___X</w:t>
            </w:r>
            <w:r w:rsidR="001339ED" w:rsidRPr="001339ED">
              <w:rPr>
                <w:rFonts w:ascii="Arial" w:eastAsia="Times New Roman" w:hAnsi="Arial" w:cs="Arial"/>
                <w:b/>
                <w:i/>
                <w:color w:val="000000"/>
                <w:highlight w:val="yellow"/>
                <w:lang w:eastAsia="es-CO"/>
              </w:rPr>
              <w:t>___</w:t>
            </w:r>
          </w:p>
          <w:p w:rsidR="001339ED" w:rsidRDefault="001339ED" w:rsidP="001339ED">
            <w:pPr>
              <w:spacing w:after="0" w:line="240" w:lineRule="auto"/>
              <w:ind w:left="720"/>
              <w:jc w:val="both"/>
              <w:textAlignment w:val="baseline"/>
              <w:rPr>
                <w:rFonts w:ascii="Arial" w:eastAsia="Times New Roman" w:hAnsi="Arial" w:cs="Arial"/>
                <w:color w:val="000000"/>
                <w:lang w:eastAsia="es-CO"/>
              </w:rPr>
            </w:pPr>
          </w:p>
          <w:p w:rsidR="001339ED" w:rsidRPr="001339ED" w:rsidRDefault="001339ED" w:rsidP="001339ED">
            <w:pPr>
              <w:spacing w:after="0" w:line="240" w:lineRule="auto"/>
              <w:ind w:left="720"/>
              <w:jc w:val="both"/>
              <w:textAlignment w:val="baseline"/>
              <w:rPr>
                <w:rFonts w:ascii="Arial" w:eastAsia="Times New Roman" w:hAnsi="Arial" w:cs="Arial"/>
                <w:b/>
                <w:color w:val="000000"/>
                <w:lang w:eastAsia="es-CO"/>
              </w:rPr>
            </w:pPr>
            <w:r w:rsidRPr="001339ED">
              <w:rPr>
                <w:rFonts w:ascii="Arial" w:eastAsia="Times New Roman" w:hAnsi="Arial" w:cs="Arial"/>
                <w:b/>
                <w:color w:val="000000"/>
                <w:highlight w:val="yellow"/>
                <w:lang w:eastAsia="es-CO"/>
              </w:rPr>
              <w:t>(En el presente caso se realizó pronunciamiento respecto de las pruebas allegad al plenario por la parte actora y las allegadas junto con la contestación parte partes de las accionadas, incorporándose cada una de ellas al proceso).</w:t>
            </w:r>
          </w:p>
          <w:p w:rsidR="001339ED" w:rsidRPr="00BC0560" w:rsidRDefault="001339ED" w:rsidP="001339ED">
            <w:pPr>
              <w:spacing w:after="0" w:line="240" w:lineRule="auto"/>
              <w:ind w:left="720"/>
              <w:jc w:val="both"/>
              <w:textAlignment w:val="baseline"/>
              <w:rPr>
                <w:rFonts w:ascii="Arial" w:eastAsia="Times New Roman" w:hAnsi="Arial" w:cs="Arial"/>
                <w:color w:val="000000"/>
                <w:lang w:eastAsia="es-CO"/>
              </w:rPr>
            </w:pPr>
          </w:p>
          <w:p w:rsidR="0065447D" w:rsidRDefault="0065447D" w:rsidP="00D500B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1339ED" w:rsidRDefault="001339ED" w:rsidP="001339ED">
            <w:pPr>
              <w:spacing w:after="0" w:line="240" w:lineRule="auto"/>
              <w:ind w:left="720"/>
              <w:jc w:val="both"/>
              <w:textAlignment w:val="baseline"/>
              <w:rPr>
                <w:rFonts w:ascii="Arial" w:eastAsia="Times New Roman" w:hAnsi="Arial" w:cs="Arial"/>
                <w:color w:val="000000"/>
                <w:lang w:eastAsia="es-CO"/>
              </w:rPr>
            </w:pPr>
          </w:p>
          <w:p w:rsidR="001339ED" w:rsidRPr="00BC0560" w:rsidRDefault="001339ED" w:rsidP="001339ED">
            <w:pPr>
              <w:spacing w:after="0" w:line="240" w:lineRule="auto"/>
              <w:ind w:left="720"/>
              <w:jc w:val="both"/>
              <w:textAlignment w:val="baseline"/>
              <w:rPr>
                <w:rFonts w:ascii="Arial" w:eastAsia="Times New Roman" w:hAnsi="Arial" w:cs="Arial"/>
                <w:color w:val="000000"/>
                <w:lang w:eastAsia="es-CO"/>
              </w:rPr>
            </w:pPr>
            <w:r w:rsidRPr="001339ED">
              <w:rPr>
                <w:rFonts w:ascii="Arial" w:eastAsia="Times New Roman" w:hAnsi="Arial" w:cs="Arial"/>
                <w:b/>
                <w:color w:val="000000"/>
                <w:highlight w:val="yellow"/>
                <w:lang w:eastAsia="es-CO"/>
              </w:rPr>
              <w:t xml:space="preserve">(En el presente caso </w:t>
            </w:r>
            <w:r w:rsidRPr="001339ED">
              <w:rPr>
                <w:rFonts w:ascii="Arial" w:eastAsia="Times New Roman" w:hAnsi="Arial" w:cs="Arial"/>
                <w:b/>
                <w:color w:val="000000"/>
                <w:highlight w:val="yellow"/>
                <w:lang w:eastAsia="es-CO"/>
              </w:rPr>
              <w:t>una vez se incorporaron pruebas, se procedió a fijar el litigio, determinando el problema jurídico a resolver</w:t>
            </w:r>
            <w:r w:rsidRPr="001339ED">
              <w:rPr>
                <w:rFonts w:ascii="Arial" w:eastAsia="Times New Roman" w:hAnsi="Arial" w:cs="Arial"/>
                <w:b/>
                <w:color w:val="000000"/>
                <w:highlight w:val="yellow"/>
                <w:lang w:eastAsia="es-CO"/>
              </w:rPr>
              <w:t>).</w:t>
            </w:r>
            <w:r>
              <w:rPr>
                <w:rFonts w:ascii="Arial" w:eastAsia="Times New Roman" w:hAnsi="Arial" w:cs="Arial"/>
                <w:b/>
                <w:color w:val="000000"/>
                <w:lang w:eastAsia="es-CO"/>
              </w:rPr>
              <w:t xml:space="preserv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1339ED" w:rsidRDefault="0065447D" w:rsidP="00D500BA">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r w:rsidR="001339ED" w:rsidRPr="00BC0560">
              <w:rPr>
                <w:rFonts w:ascii="Arial" w:eastAsia="Times New Roman" w:hAnsi="Arial" w:cs="Arial"/>
                <w:color w:val="000000"/>
                <w:lang w:eastAsia="es-CO"/>
              </w:rPr>
              <w:t>y, _</w:t>
            </w:r>
            <w:r w:rsidR="001339ED" w:rsidRPr="001339ED">
              <w:rPr>
                <w:rFonts w:ascii="Arial" w:eastAsia="Times New Roman" w:hAnsi="Arial" w:cs="Arial"/>
                <w:b/>
                <w:i/>
                <w:color w:val="000000"/>
                <w:highlight w:val="yellow"/>
                <w:u w:val="single"/>
                <w:lang w:eastAsia="es-CO"/>
              </w:rPr>
              <w:t>_X___</w:t>
            </w:r>
          </w:p>
          <w:p w:rsidR="001339ED" w:rsidRDefault="001339ED" w:rsidP="001339ED">
            <w:pPr>
              <w:spacing w:after="0" w:line="240" w:lineRule="auto"/>
              <w:ind w:left="720"/>
              <w:jc w:val="both"/>
              <w:textAlignment w:val="baseline"/>
              <w:rPr>
                <w:rFonts w:ascii="Arial" w:eastAsia="Times New Roman" w:hAnsi="Arial" w:cs="Arial"/>
                <w:b/>
                <w:i/>
                <w:color w:val="000000"/>
                <w:u w:val="single"/>
                <w:lang w:eastAsia="es-CO"/>
              </w:rPr>
            </w:pPr>
          </w:p>
          <w:p w:rsidR="001339ED" w:rsidRPr="00BC0560" w:rsidRDefault="001339ED" w:rsidP="001339ED">
            <w:pPr>
              <w:spacing w:after="0" w:line="240" w:lineRule="auto"/>
              <w:ind w:left="720"/>
              <w:jc w:val="both"/>
              <w:textAlignment w:val="baseline"/>
              <w:rPr>
                <w:rFonts w:ascii="Arial" w:eastAsia="Times New Roman" w:hAnsi="Arial" w:cs="Arial"/>
                <w:color w:val="000000"/>
                <w:lang w:eastAsia="es-CO"/>
              </w:rPr>
            </w:pPr>
            <w:r w:rsidRPr="001339ED">
              <w:rPr>
                <w:rFonts w:ascii="Arial" w:eastAsia="Times New Roman" w:hAnsi="Arial" w:cs="Arial"/>
                <w:b/>
                <w:color w:val="000000"/>
                <w:highlight w:val="yellow"/>
                <w:lang w:eastAsia="es-CO"/>
              </w:rPr>
              <w:t xml:space="preserve">(En el presente caso una vez se incorporaron pruebas, </w:t>
            </w:r>
            <w:r>
              <w:rPr>
                <w:rFonts w:ascii="Arial" w:eastAsia="Times New Roman" w:hAnsi="Arial" w:cs="Arial"/>
                <w:b/>
                <w:color w:val="000000"/>
                <w:highlight w:val="yellow"/>
                <w:lang w:eastAsia="es-CO"/>
              </w:rPr>
              <w:t>se fijó</w:t>
            </w:r>
            <w:r w:rsidRPr="001339ED">
              <w:rPr>
                <w:rFonts w:ascii="Arial" w:eastAsia="Times New Roman" w:hAnsi="Arial" w:cs="Arial"/>
                <w:b/>
                <w:color w:val="000000"/>
                <w:highlight w:val="yellow"/>
                <w:lang w:eastAsia="es-CO"/>
              </w:rPr>
              <w:t xml:space="preserve"> el litigio, </w:t>
            </w:r>
            <w:r>
              <w:rPr>
                <w:rFonts w:ascii="Arial" w:eastAsia="Times New Roman" w:hAnsi="Arial" w:cs="Arial"/>
                <w:b/>
                <w:color w:val="000000"/>
                <w:highlight w:val="yellow"/>
                <w:lang w:eastAsia="es-CO"/>
              </w:rPr>
              <w:t>a fin de hacer efectivos los principios de economía y celeridad procesal, se procedió a dar traslado a las partes para que presentarán sus alegatos de conclusión por escrito.</w:t>
            </w:r>
            <w:r w:rsidRPr="001339ED">
              <w:rPr>
                <w:rFonts w:ascii="Arial" w:eastAsia="Times New Roman" w:hAnsi="Arial" w:cs="Arial"/>
                <w:b/>
                <w:color w:val="000000"/>
                <w:highlight w:val="yellow"/>
                <w:lang w:eastAsia="es-CO"/>
              </w:rPr>
              <w:t>).</w:t>
            </w:r>
            <w:r>
              <w:rPr>
                <w:rFonts w:ascii="Arial" w:eastAsia="Times New Roman" w:hAnsi="Arial" w:cs="Arial"/>
                <w:b/>
                <w:color w:val="000000"/>
                <w:lang w:eastAsia="es-CO"/>
              </w:rPr>
              <w:t xml:space="preserv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Default="0065447D" w:rsidP="00D500BA">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w:t>
            </w:r>
            <w:r w:rsidR="001339ED">
              <w:rPr>
                <w:rFonts w:ascii="Arial" w:eastAsia="Times New Roman" w:hAnsi="Arial" w:cs="Arial"/>
                <w:color w:val="000000"/>
                <w:lang w:eastAsia="es-CO"/>
              </w:rPr>
              <w:t xml:space="preserve"> por escrito posteriormente.</w:t>
            </w:r>
          </w:p>
          <w:p w:rsidR="001339ED" w:rsidRDefault="001339ED" w:rsidP="001339ED">
            <w:pPr>
              <w:spacing w:after="0" w:line="240" w:lineRule="auto"/>
              <w:ind w:left="720"/>
              <w:jc w:val="both"/>
              <w:textAlignment w:val="baseline"/>
              <w:rPr>
                <w:rFonts w:ascii="Arial" w:eastAsia="Times New Roman" w:hAnsi="Arial" w:cs="Arial"/>
                <w:color w:val="000000"/>
                <w:lang w:eastAsia="es-CO"/>
              </w:rPr>
            </w:pPr>
          </w:p>
          <w:p w:rsidR="001339ED" w:rsidRPr="001339ED" w:rsidRDefault="001339ED" w:rsidP="001339ED">
            <w:pPr>
              <w:spacing w:after="0" w:line="240" w:lineRule="auto"/>
              <w:ind w:left="720"/>
              <w:jc w:val="both"/>
              <w:textAlignment w:val="baseline"/>
              <w:rPr>
                <w:rFonts w:ascii="Arial" w:eastAsia="Times New Roman" w:hAnsi="Arial" w:cs="Arial"/>
                <w:b/>
                <w:color w:val="000000"/>
                <w:lang w:eastAsia="es-CO"/>
              </w:rPr>
            </w:pPr>
            <w:r w:rsidRPr="001339ED">
              <w:rPr>
                <w:rFonts w:ascii="Arial" w:eastAsia="Times New Roman" w:hAnsi="Arial" w:cs="Arial"/>
                <w:b/>
                <w:color w:val="000000"/>
                <w:highlight w:val="yellow"/>
                <w:lang w:eastAsia="es-CO"/>
              </w:rPr>
              <w:t>(</w:t>
            </w:r>
            <w:r>
              <w:rPr>
                <w:rFonts w:ascii="Arial" w:eastAsia="Times New Roman" w:hAnsi="Arial" w:cs="Arial"/>
                <w:b/>
                <w:color w:val="000000"/>
                <w:highlight w:val="yellow"/>
                <w:lang w:eastAsia="es-CO"/>
              </w:rPr>
              <w:t>E</w:t>
            </w:r>
            <w:r w:rsidRPr="001339ED">
              <w:rPr>
                <w:rFonts w:ascii="Arial" w:eastAsia="Times New Roman" w:hAnsi="Arial" w:cs="Arial"/>
                <w:b/>
                <w:color w:val="000000"/>
                <w:highlight w:val="yellow"/>
                <w:lang w:eastAsia="es-CO"/>
              </w:rPr>
              <w:t>n el presente asunto previó a incorporar las pruebas, fijar el litigio y correr traslado para alegar, se realizó un pronunciamiento expresando las razones por la cuales se procedía a dictar sentencia anticipada).</w:t>
            </w:r>
            <w:r w:rsidRPr="001339ED">
              <w:rPr>
                <w:rFonts w:ascii="Arial" w:eastAsia="Times New Roman" w:hAnsi="Arial" w:cs="Arial"/>
                <w:b/>
                <w:color w:val="000000"/>
                <w:lang w:eastAsia="es-CO"/>
              </w:rPr>
              <w:t xml:space="preserv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65447D" w:rsidRDefault="0065447D" w:rsidP="00D500BA">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w:t>
            </w:r>
            <w:r w:rsidRPr="00BC0560">
              <w:rPr>
                <w:rFonts w:ascii="Arial" w:eastAsia="Times New Roman" w:hAnsi="Arial" w:cs="Arial"/>
                <w:i/>
                <w:iCs/>
                <w:color w:val="000000"/>
                <w:sz w:val="18"/>
                <w:szCs w:val="18"/>
                <w:lang w:eastAsia="es-CO"/>
              </w:rPr>
              <w:lastRenderedPageBreak/>
              <w:t xml:space="preserve">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65447D" w:rsidRPr="009E03CD" w:rsidRDefault="0065447D" w:rsidP="00D500BA">
            <w:pPr>
              <w:spacing w:after="0" w:line="240" w:lineRule="auto"/>
              <w:jc w:val="both"/>
              <w:rPr>
                <w:rFonts w:ascii="Arial" w:eastAsia="Times New Roman" w:hAnsi="Arial" w:cs="Arial"/>
                <w:b/>
                <w:color w:val="000000"/>
                <w:lang w:eastAsia="es-CO"/>
              </w:rPr>
            </w:pPr>
          </w:p>
          <w:p w:rsidR="00121365" w:rsidRDefault="0065447D" w:rsidP="00121365">
            <w:pPr>
              <w:spacing w:after="0" w:line="240" w:lineRule="auto"/>
              <w:ind w:left="731"/>
              <w:jc w:val="both"/>
              <w:rPr>
                <w:rFonts w:ascii="Arial" w:eastAsia="Times New Roman" w:hAnsi="Arial" w:cs="Arial"/>
                <w:b/>
                <w:color w:val="000000"/>
                <w:lang w:eastAsia="es-CO"/>
              </w:rPr>
            </w:pPr>
            <w:r w:rsidRPr="00121365">
              <w:rPr>
                <w:rFonts w:ascii="Arial" w:eastAsia="Times New Roman" w:hAnsi="Arial" w:cs="Arial"/>
                <w:b/>
                <w:color w:val="000000"/>
                <w:highlight w:val="yellow"/>
                <w:lang w:eastAsia="es-CO"/>
              </w:rPr>
              <w:t>R</w:t>
            </w:r>
            <w:r w:rsidR="00121365" w:rsidRPr="00121365">
              <w:rPr>
                <w:rFonts w:ascii="Arial" w:eastAsia="Times New Roman" w:hAnsi="Arial" w:cs="Arial"/>
                <w:b/>
                <w:color w:val="000000"/>
                <w:highlight w:val="yellow"/>
                <w:lang w:eastAsia="es-CO"/>
              </w:rPr>
              <w:t>espuesta: Durante el termino</w:t>
            </w:r>
            <w:r w:rsidR="00B54539">
              <w:rPr>
                <w:rFonts w:ascii="Arial" w:eastAsia="Times New Roman" w:hAnsi="Arial" w:cs="Arial"/>
                <w:b/>
                <w:color w:val="000000"/>
                <w:highlight w:val="yellow"/>
                <w:lang w:eastAsia="es-CO"/>
              </w:rPr>
              <w:t xml:space="preserve"> dispuesto</w:t>
            </w:r>
            <w:r w:rsidR="00121365" w:rsidRPr="00121365">
              <w:rPr>
                <w:rFonts w:ascii="Arial" w:eastAsia="Times New Roman" w:hAnsi="Arial" w:cs="Arial"/>
                <w:b/>
                <w:color w:val="000000"/>
                <w:highlight w:val="yellow"/>
                <w:lang w:eastAsia="es-CO"/>
              </w:rPr>
              <w:t xml:space="preserve"> para la presentación de alegatos. La parte actora y la parte </w:t>
            </w:r>
            <w:r w:rsidR="00B54539">
              <w:rPr>
                <w:rFonts w:ascii="Arial" w:eastAsia="Times New Roman" w:hAnsi="Arial" w:cs="Arial"/>
                <w:b/>
                <w:color w:val="000000"/>
                <w:highlight w:val="yellow"/>
                <w:lang w:eastAsia="es-CO"/>
              </w:rPr>
              <w:t>demandada</w:t>
            </w:r>
            <w:r w:rsidR="00121365" w:rsidRPr="00121365">
              <w:rPr>
                <w:rFonts w:ascii="Arial" w:eastAsia="Times New Roman" w:hAnsi="Arial" w:cs="Arial"/>
                <w:b/>
                <w:color w:val="000000"/>
                <w:highlight w:val="yellow"/>
                <w:lang w:eastAsia="es-CO"/>
              </w:rPr>
              <w:t xml:space="preserve"> presentaron sus alegatos de conclusión, por lo que se procedió a dictar sentencia anti</w:t>
            </w:r>
            <w:bookmarkStart w:id="0" w:name="_GoBack"/>
            <w:bookmarkEnd w:id="0"/>
            <w:r w:rsidR="00121365" w:rsidRPr="00121365">
              <w:rPr>
                <w:rFonts w:ascii="Arial" w:eastAsia="Times New Roman" w:hAnsi="Arial" w:cs="Arial"/>
                <w:b/>
                <w:color w:val="000000"/>
                <w:highlight w:val="yellow"/>
                <w:lang w:eastAsia="es-CO"/>
              </w:rPr>
              <w:t>cipada.</w:t>
            </w:r>
            <w:r w:rsidR="00121365">
              <w:rPr>
                <w:rFonts w:ascii="Arial" w:eastAsia="Times New Roman" w:hAnsi="Arial" w:cs="Arial"/>
                <w:b/>
                <w:color w:val="000000"/>
                <w:lang w:eastAsia="es-CO"/>
              </w:rPr>
              <w:t xml:space="preserve"> </w:t>
            </w:r>
          </w:p>
          <w:p w:rsidR="0065447D" w:rsidRPr="009E03CD" w:rsidRDefault="0065447D" w:rsidP="00D500BA">
            <w:pPr>
              <w:spacing w:after="0" w:line="240" w:lineRule="auto"/>
              <w:jc w:val="both"/>
              <w:rPr>
                <w:rFonts w:ascii="Arial" w:eastAsia="Times New Roman" w:hAnsi="Arial" w:cs="Arial"/>
                <w:b/>
                <w:color w:val="000000"/>
                <w:lang w:eastAsia="es-CO"/>
              </w:rPr>
            </w:pP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p>
        </w:tc>
      </w:tr>
      <w:tr w:rsidR="0065447D"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447D" w:rsidRPr="00BC0560" w:rsidRDefault="0065447D" w:rsidP="00D500BA">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65447D" w:rsidRPr="00BC0560" w:rsidRDefault="0065447D" w:rsidP="00D500BA">
            <w:pPr>
              <w:spacing w:after="24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65447D" w:rsidRPr="00BC0560" w:rsidRDefault="0065447D" w:rsidP="00D500BA">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65447D"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447D" w:rsidRPr="00BC0560" w:rsidRDefault="0065447D" w:rsidP="00D500BA">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65447D" w:rsidRPr="00BC0560" w:rsidTr="00D500B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447D" w:rsidRPr="00BC0560" w:rsidRDefault="0065447D" w:rsidP="00D500BA">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65447D" w:rsidRPr="00BC0560" w:rsidRDefault="0065447D" w:rsidP="00D500B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65447D" w:rsidRPr="00BC0560" w:rsidRDefault="0065447D" w:rsidP="00D500BA">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65447D" w:rsidRPr="00BC0560" w:rsidRDefault="0065447D" w:rsidP="00D500BA">
            <w:pPr>
              <w:spacing w:after="240" w:line="240" w:lineRule="auto"/>
              <w:rPr>
                <w:rFonts w:ascii="Times New Roman" w:eastAsia="Times New Roman" w:hAnsi="Times New Roman" w:cs="Times New Roman"/>
                <w:sz w:val="24"/>
                <w:szCs w:val="24"/>
                <w:lang w:eastAsia="es-CO"/>
              </w:rPr>
            </w:pPr>
          </w:p>
        </w:tc>
      </w:tr>
    </w:tbl>
    <w:p w:rsidR="0065447D" w:rsidRDefault="0065447D" w:rsidP="0065447D"/>
    <w:p w:rsidR="001F3068" w:rsidRDefault="00B54539"/>
    <w:sectPr w:rsidR="001F30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7D"/>
    <w:rsid w:val="00121365"/>
    <w:rsid w:val="001339ED"/>
    <w:rsid w:val="0065447D"/>
    <w:rsid w:val="00AE5E47"/>
    <w:rsid w:val="00B54539"/>
    <w:rsid w:val="00D64543"/>
    <w:rsid w:val="00F07C8A"/>
    <w:rsid w:val="00FF70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C172D"/>
  <w15:chartTrackingRefBased/>
  <w15:docId w15:val="{3C844A28-277A-48EA-A61B-C9CFB003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47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1187</Words>
  <Characters>6530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Jose Gomez Camargo</dc:creator>
  <cp:keywords/>
  <dc:description/>
  <cp:lastModifiedBy>Kevin Jose Gomez Camargo</cp:lastModifiedBy>
  <cp:revision>2</cp:revision>
  <dcterms:created xsi:type="dcterms:W3CDTF">2021-09-06T01:03:00Z</dcterms:created>
  <dcterms:modified xsi:type="dcterms:W3CDTF">2021-09-06T01:53:00Z</dcterms:modified>
</cp:coreProperties>
</file>