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13CACFEC"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406C0C">
        <w:rPr>
          <w:rFonts w:ascii="Arial" w:eastAsia="Calibri" w:hAnsi="Arial" w:cs="Arial"/>
          <w:lang w:val="es-MX"/>
        </w:rPr>
        <w:t xml:space="preserve">  Rosedlin Josefina González</w:t>
      </w:r>
    </w:p>
    <w:p w14:paraId="5F7DBDD4" w14:textId="4F999ABA"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406C0C">
        <w:rPr>
          <w:rFonts w:ascii="Arial" w:hAnsi="Arial" w:cs="Arial"/>
          <w:lang w:val="es-MX"/>
        </w:rPr>
        <w:t>2 de septiembre de 2021</w:t>
      </w:r>
    </w:p>
    <w:p w14:paraId="75E84AC6" w14:textId="33E4885F"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ontrol:</w:t>
      </w:r>
      <w:r w:rsidR="00406C0C">
        <w:rPr>
          <w:rFonts w:ascii="Arial" w:hAnsi="Arial" w:cs="Arial"/>
          <w:lang w:val="es-MX"/>
        </w:rPr>
        <w:t xml:space="preserve"> Reparación Directa </w:t>
      </w:r>
      <w:r w:rsidR="00ED4ECD" w:rsidRPr="001F2D25">
        <w:rPr>
          <w:rFonts w:ascii="Arial" w:hAnsi="Arial" w:cs="Arial"/>
          <w:lang w:val="es-MX"/>
        </w:rPr>
        <w:t xml:space="preserve"> </w:t>
      </w:r>
    </w:p>
    <w:p w14:paraId="6B89892F" w14:textId="77948AA1"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D54217">
        <w:rPr>
          <w:rFonts w:ascii="Arial" w:hAnsi="Arial" w:cs="Arial"/>
          <w:lang w:val="es-MX"/>
        </w:rPr>
        <w:t xml:space="preserve"> Esvany Patricia Riascos López </w:t>
      </w:r>
    </w:p>
    <w:p w14:paraId="1660C8A3" w14:textId="1178EE5A"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D54217">
        <w:rPr>
          <w:rFonts w:ascii="Arial" w:hAnsi="Arial" w:cs="Arial"/>
          <w:lang w:val="es-MX"/>
        </w:rPr>
        <w:t xml:space="preserve"> Nación – Ministerio de Educación Nacional – Fondo Nacional de Prestaciones Sociales del Magisterio</w:t>
      </w:r>
    </w:p>
    <w:p w14:paraId="19FDD2BC" w14:textId="77777777" w:rsidR="00B713D2" w:rsidRPr="0064235C" w:rsidRDefault="00B713D2" w:rsidP="00B713D2">
      <w:pPr>
        <w:pStyle w:val="Sinespaciado"/>
        <w:ind w:left="-1134"/>
        <w:rPr>
          <w:rFonts w:ascii="Arial" w:hAnsi="Arial" w:cs="Arial"/>
          <w:sz w:val="14"/>
          <w:szCs w:val="14"/>
          <w:lang w:val="es-MX"/>
        </w:rPr>
      </w:pPr>
    </w:p>
    <w:p w14:paraId="398A2EA5" w14:textId="77777777" w:rsidR="00B713D2" w:rsidRPr="00D54217" w:rsidRDefault="00B713D2" w:rsidP="00B713D2">
      <w:pPr>
        <w:pStyle w:val="Sinespaciado"/>
        <w:ind w:left="-1134"/>
        <w:rPr>
          <w:rFonts w:ascii="Arial" w:hAnsi="Arial" w:cs="Arial"/>
          <w:sz w:val="8"/>
          <w:szCs w:val="8"/>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0B50CDD4">
                      <wp:simplePos x="0" y="0"/>
                      <wp:positionH relativeFrom="column">
                        <wp:posOffset>3486644</wp:posOffset>
                      </wp:positionH>
                      <wp:positionV relativeFrom="paragraph">
                        <wp:posOffset>152329</wp:posOffset>
                      </wp:positionV>
                      <wp:extent cx="508000" cy="293512"/>
                      <wp:effectExtent l="0" t="0" r="25400" b="11430"/>
                      <wp:wrapNone/>
                      <wp:docPr id="5" name="Rectángulo 5"/>
                      <wp:cNvGraphicFramePr/>
                      <a:graphic xmlns:a="http://schemas.openxmlformats.org/drawingml/2006/main">
                        <a:graphicData uri="http://schemas.microsoft.com/office/word/2010/wordprocessingShape">
                          <wps:wsp>
                            <wps:cNvSpPr/>
                            <wps:spPr>
                              <a:xfrm>
                                <a:off x="0" y="0"/>
                                <a:ext cx="508000" cy="293512"/>
                              </a:xfrm>
                              <a:prstGeom prst="rect">
                                <a:avLst/>
                              </a:prstGeom>
                            </wps:spPr>
                            <wps:style>
                              <a:lnRef idx="2">
                                <a:schemeClr val="accent6"/>
                              </a:lnRef>
                              <a:fillRef idx="1">
                                <a:schemeClr val="lt1"/>
                              </a:fillRef>
                              <a:effectRef idx="0">
                                <a:schemeClr val="accent6"/>
                              </a:effectRef>
                              <a:fontRef idx="minor">
                                <a:schemeClr val="dk1"/>
                              </a:fontRef>
                            </wps:style>
                            <wps:txbx>
                              <w:txbxContent>
                                <w:p w14:paraId="600D0775" w14:textId="39CA327E" w:rsidR="00932F5E" w:rsidRDefault="00932F5E" w:rsidP="00932F5E">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4.55pt;margin-top:12pt;width:40pt;height:23.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" fillcolor="white [3201]" strokecolor="#70ad47 [3209]" strokeweight="1pt">
                      <v:textbox>
                        <w:txbxContent>
                          <w:p w14:paraId="600D0775" w14:textId="39CA327E" w:rsidR="00932F5E" w:rsidRDefault="00932F5E" w:rsidP="00932F5E">
                            <w:pPr>
                              <w:jc w:val="center"/>
                            </w:pPr>
                            <w:r>
                              <w:t>X</w:t>
                            </w: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073BA054">
                      <wp:simplePos x="0" y="0"/>
                      <wp:positionH relativeFrom="column">
                        <wp:posOffset>3125399</wp:posOffset>
                      </wp:positionH>
                      <wp:positionV relativeFrom="paragraph">
                        <wp:posOffset>158397</wp:posOffset>
                      </wp:positionV>
                      <wp:extent cx="293512" cy="248356"/>
                      <wp:effectExtent l="0" t="0" r="11430" b="18415"/>
                      <wp:wrapNone/>
                      <wp:docPr id="6" name="Rectángulo 6"/>
                      <wp:cNvGraphicFramePr/>
                      <a:graphic xmlns:a="http://schemas.openxmlformats.org/drawingml/2006/main">
                        <a:graphicData uri="http://schemas.microsoft.com/office/word/2010/wordprocessingShape">
                          <wps:wsp>
                            <wps:cNvSpPr/>
                            <wps:spPr>
                              <a:xfrm>
                                <a:off x="0" y="0"/>
                                <a:ext cx="293512" cy="248356"/>
                              </a:xfrm>
                              <a:prstGeom prst="rect">
                                <a:avLst/>
                              </a:prstGeom>
                            </wps:spPr>
                            <wps:style>
                              <a:lnRef idx="2">
                                <a:schemeClr val="accent6"/>
                              </a:lnRef>
                              <a:fillRef idx="1">
                                <a:schemeClr val="lt1"/>
                              </a:fillRef>
                              <a:effectRef idx="0">
                                <a:schemeClr val="accent6"/>
                              </a:effectRef>
                              <a:fontRef idx="minor">
                                <a:schemeClr val="dk1"/>
                              </a:fontRef>
                            </wps:style>
                            <wps:txbx>
                              <w:txbxContent>
                                <w:p w14:paraId="12796E16" w14:textId="44FE3FE8" w:rsidR="00932F5E" w:rsidRDefault="00932F5E" w:rsidP="00932F5E">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7" style="position:absolute;left:0;text-align:left;margin-left:246.1pt;margin-top:12.45pt;width:23.1pt;height:19.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" fillcolor="white [3201]" strokecolor="#70ad47 [3209]" strokeweight="1pt">
                      <v:textbox>
                        <w:txbxContent>
                          <w:p w14:paraId="12796E16" w14:textId="44FE3FE8" w:rsidR="00932F5E" w:rsidRDefault="00932F5E" w:rsidP="00932F5E">
                            <w:pPr>
                              <w:jc w:val="center"/>
                            </w:pPr>
                            <w:r>
                              <w:t>X</w:t>
                            </w: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3F4F3499">
                      <wp:simplePos x="0" y="0"/>
                      <wp:positionH relativeFrom="column">
                        <wp:posOffset>1601399</wp:posOffset>
                      </wp:positionH>
                      <wp:positionV relativeFrom="paragraph">
                        <wp:posOffset>319899</wp:posOffset>
                      </wp:positionV>
                      <wp:extent cx="406400" cy="282222"/>
                      <wp:effectExtent l="0" t="0" r="12700" b="22860"/>
                      <wp:wrapNone/>
                      <wp:docPr id="15" name="Rectángulo 15"/>
                      <wp:cNvGraphicFramePr/>
                      <a:graphic xmlns:a="http://schemas.openxmlformats.org/drawingml/2006/main">
                        <a:graphicData uri="http://schemas.microsoft.com/office/word/2010/wordprocessingShape">
                          <wps:wsp>
                            <wps:cNvSpPr/>
                            <wps:spPr>
                              <a:xfrm>
                                <a:off x="0" y="0"/>
                                <a:ext cx="406400" cy="282222"/>
                              </a:xfrm>
                              <a:prstGeom prst="rect">
                                <a:avLst/>
                              </a:prstGeom>
                            </wps:spPr>
                            <wps:style>
                              <a:lnRef idx="2">
                                <a:schemeClr val="accent6"/>
                              </a:lnRef>
                              <a:fillRef idx="1">
                                <a:schemeClr val="lt1"/>
                              </a:fillRef>
                              <a:effectRef idx="0">
                                <a:schemeClr val="accent6"/>
                              </a:effectRef>
                              <a:fontRef idx="minor">
                                <a:schemeClr val="dk1"/>
                              </a:fontRef>
                            </wps:style>
                            <wps:txbx>
                              <w:txbxContent>
                                <w:p w14:paraId="6C59466D" w14:textId="1446F9C8" w:rsidR="00932F5E" w:rsidRDefault="00932F5E" w:rsidP="00932F5E">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8" style="position:absolute;left:0;text-align:left;margin-left:126.1pt;margin-top:25.2pt;width:32pt;height:22.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" fillcolor="white [3201]" strokecolor="#70ad47 [3209]" strokeweight="1pt">
                      <v:textbox>
                        <w:txbxContent>
                          <w:p w14:paraId="6C59466D" w14:textId="1446F9C8" w:rsidR="00932F5E" w:rsidRDefault="00932F5E" w:rsidP="00932F5E">
                            <w:pPr>
                              <w:jc w:val="center"/>
                            </w:pPr>
                            <w:r>
                              <w:t>X</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97266F6" w14:textId="44E4CDC0" w:rsidR="00AA3576" w:rsidRDefault="00AA3576">
      <w:pPr>
        <w:spacing w:after="160" w:line="259" w:lineRule="auto"/>
        <w:rPr>
          <w:rFonts w:ascii="Arial" w:hAnsi="Arial" w:cs="Arial"/>
          <w:color w:val="FF0000"/>
        </w:rPr>
      </w:pPr>
    </w:p>
    <w:p w14:paraId="341CB10B" w14:textId="26A0D1F3" w:rsidR="002F7D1D" w:rsidRDefault="0032121B" w:rsidP="00B659E4">
      <w:pPr>
        <w:jc w:val="center"/>
        <w:rPr>
          <w:rFonts w:ascii="Arial" w:hAnsi="Arial" w:cs="Arial"/>
          <w:color w:val="FF0000"/>
        </w:rPr>
      </w:pPr>
      <w:r>
        <w:rPr>
          <w:rFonts w:ascii="Arial" w:hAnsi="Arial" w:cs="Arial"/>
          <w:color w:val="FF0000"/>
        </w:rPr>
        <w:t>AUT</w:t>
      </w:r>
      <w:r w:rsidR="00F13D8F">
        <w:rPr>
          <w:rFonts w:ascii="Arial" w:hAnsi="Arial" w:cs="Arial"/>
          <w:color w:val="FF0000"/>
        </w:rPr>
        <w:t>O</w:t>
      </w:r>
    </w:p>
    <w:p w14:paraId="19F1AC06" w14:textId="676134C0" w:rsidR="00AA3576" w:rsidRDefault="00AA3576">
      <w:pPr>
        <w:spacing w:after="160" w:line="259" w:lineRule="auto"/>
        <w:rPr>
          <w:rFonts w:ascii="Arial" w:hAnsi="Arial" w:cs="Arial"/>
          <w:color w:val="FF0000"/>
        </w:rPr>
      </w:pPr>
      <w:r>
        <w:rPr>
          <w:rFonts w:ascii="Arial" w:hAnsi="Arial" w:cs="Arial"/>
          <w:color w:val="FF0000"/>
        </w:rPr>
        <w:br w:type="page"/>
      </w:r>
    </w:p>
    <w:p w14:paraId="462BEC08" w14:textId="06EE68FA" w:rsidR="00AA3576" w:rsidRDefault="00AA3576" w:rsidP="00AA3576">
      <w:pPr>
        <w:keepNext/>
        <w:keepLines/>
        <w:spacing w:after="0" w:line="240" w:lineRule="auto"/>
        <w:contextualSpacing/>
        <w:jc w:val="center"/>
        <w:outlineLvl w:val="0"/>
        <w:rPr>
          <w:rFonts w:ascii="Arial" w:eastAsia="Calibri" w:hAnsi="Arial" w:cs="Arial"/>
          <w:sz w:val="24"/>
          <w:szCs w:val="24"/>
        </w:rPr>
      </w:pPr>
      <w:r>
        <w:rPr>
          <w:rFonts w:ascii="Arial" w:eastAsia="Calibri" w:hAnsi="Arial" w:cs="Arial"/>
          <w:sz w:val="24"/>
          <w:szCs w:val="24"/>
        </w:rPr>
        <w:lastRenderedPageBreak/>
        <w:t>JUZGADO DOCE ADMINISTRATIVO DE TOMALOTUYO</w:t>
      </w:r>
    </w:p>
    <w:p w14:paraId="1E0AB6FD" w14:textId="50BBC3EC" w:rsidR="00AA3576" w:rsidRDefault="00AA3576" w:rsidP="00AA3576">
      <w:pPr>
        <w:keepNext/>
        <w:keepLines/>
        <w:spacing w:after="0" w:line="240" w:lineRule="auto"/>
        <w:contextualSpacing/>
        <w:jc w:val="center"/>
        <w:outlineLvl w:val="0"/>
        <w:rPr>
          <w:rFonts w:ascii="Arial" w:eastAsia="Calibri" w:hAnsi="Arial" w:cs="Arial"/>
          <w:sz w:val="24"/>
          <w:szCs w:val="24"/>
        </w:rPr>
      </w:pPr>
      <w:r>
        <w:rPr>
          <w:rFonts w:ascii="Arial" w:eastAsia="Calibri" w:hAnsi="Arial" w:cs="Arial"/>
          <w:sz w:val="24"/>
          <w:szCs w:val="24"/>
        </w:rPr>
        <w:t xml:space="preserve">Tomalotuyo, </w:t>
      </w:r>
      <w:r w:rsidR="0099588B">
        <w:rPr>
          <w:rFonts w:ascii="Arial" w:eastAsia="Calibri" w:hAnsi="Arial" w:cs="Arial"/>
          <w:sz w:val="24"/>
          <w:szCs w:val="24"/>
        </w:rPr>
        <w:t>dos</w:t>
      </w:r>
      <w:r>
        <w:rPr>
          <w:rFonts w:ascii="Arial" w:eastAsia="Calibri" w:hAnsi="Arial" w:cs="Arial"/>
          <w:sz w:val="24"/>
          <w:szCs w:val="24"/>
        </w:rPr>
        <w:t xml:space="preserve"> (</w:t>
      </w:r>
      <w:r w:rsidR="0099588B">
        <w:rPr>
          <w:rFonts w:ascii="Arial" w:eastAsia="Calibri" w:hAnsi="Arial" w:cs="Arial"/>
          <w:sz w:val="24"/>
          <w:szCs w:val="24"/>
        </w:rPr>
        <w:t>2</w:t>
      </w:r>
      <w:r>
        <w:rPr>
          <w:rFonts w:ascii="Arial" w:eastAsia="Calibri" w:hAnsi="Arial" w:cs="Arial"/>
          <w:sz w:val="24"/>
          <w:szCs w:val="24"/>
        </w:rPr>
        <w:t>) de septiembre de dos mil veintiuno (2021)</w:t>
      </w:r>
    </w:p>
    <w:p w14:paraId="1C1AD7B6" w14:textId="77777777" w:rsidR="00AA3576" w:rsidRDefault="00AA3576" w:rsidP="00AA3576">
      <w:pPr>
        <w:keepNext/>
        <w:keepLines/>
        <w:spacing w:after="0" w:line="240" w:lineRule="auto"/>
        <w:contextualSpacing/>
        <w:jc w:val="both"/>
        <w:outlineLvl w:val="0"/>
        <w:rPr>
          <w:rFonts w:ascii="Arial" w:eastAsia="Calibri" w:hAnsi="Arial" w:cs="Arial"/>
          <w:sz w:val="24"/>
          <w:szCs w:val="24"/>
        </w:rPr>
      </w:pPr>
    </w:p>
    <w:p w14:paraId="4CD225C0" w14:textId="77777777" w:rsidR="00AA3576" w:rsidRPr="00F32EBD" w:rsidRDefault="00AA3576" w:rsidP="00AA3576">
      <w:pPr>
        <w:keepNext/>
        <w:keepLines/>
        <w:spacing w:after="0" w:line="240" w:lineRule="auto"/>
        <w:contextualSpacing/>
        <w:jc w:val="both"/>
        <w:outlineLvl w:val="0"/>
        <w:rPr>
          <w:rFonts w:ascii="Arial" w:eastAsia="Calibri" w:hAnsi="Arial" w:cs="Arial"/>
          <w:sz w:val="16"/>
          <w:szCs w:val="24"/>
        </w:rPr>
      </w:pPr>
    </w:p>
    <w:p w14:paraId="34FF1F47" w14:textId="77777777" w:rsidR="00AA3576" w:rsidRDefault="00AA3576" w:rsidP="00AA3576">
      <w:pPr>
        <w:keepNext/>
        <w:keepLines/>
        <w:spacing w:after="0" w:line="240" w:lineRule="auto"/>
        <w:contextualSpacing/>
        <w:jc w:val="both"/>
        <w:outlineLvl w:val="0"/>
        <w:rPr>
          <w:rFonts w:ascii="Arial" w:eastAsia="Calibri" w:hAnsi="Arial" w:cs="Arial"/>
          <w:sz w:val="24"/>
          <w:szCs w:val="24"/>
        </w:rPr>
      </w:pPr>
      <w:r>
        <w:rPr>
          <w:rFonts w:ascii="Arial" w:eastAsia="Calibri" w:hAnsi="Arial" w:cs="Arial"/>
          <w:sz w:val="24"/>
          <w:szCs w:val="24"/>
        </w:rPr>
        <w:t xml:space="preserve">Medio de Control:  Nulidad y Restablecimiento del Derecho </w:t>
      </w:r>
    </w:p>
    <w:p w14:paraId="3A5FA92E" w14:textId="4B8C0679" w:rsidR="00AA3576" w:rsidRDefault="00AA3576" w:rsidP="00AA3576">
      <w:pPr>
        <w:keepNext/>
        <w:keepLines/>
        <w:spacing w:after="0" w:line="240" w:lineRule="auto"/>
        <w:contextualSpacing/>
        <w:jc w:val="both"/>
        <w:outlineLvl w:val="0"/>
        <w:rPr>
          <w:rFonts w:ascii="Arial" w:eastAsia="Calibri" w:hAnsi="Arial" w:cs="Arial"/>
          <w:sz w:val="24"/>
          <w:szCs w:val="24"/>
        </w:rPr>
      </w:pPr>
      <w:r>
        <w:rPr>
          <w:rFonts w:ascii="Arial" w:eastAsia="Calibri" w:hAnsi="Arial" w:cs="Arial"/>
          <w:sz w:val="24"/>
          <w:szCs w:val="24"/>
        </w:rPr>
        <w:t xml:space="preserve">Demandante: </w:t>
      </w:r>
      <w:r w:rsidR="0099588B">
        <w:rPr>
          <w:rFonts w:ascii="Arial" w:eastAsia="Calibri" w:hAnsi="Arial" w:cs="Arial"/>
          <w:sz w:val="24"/>
          <w:szCs w:val="24"/>
        </w:rPr>
        <w:t xml:space="preserve">Esvany Patricia Riascos López </w:t>
      </w:r>
      <w:r>
        <w:rPr>
          <w:rFonts w:ascii="Arial" w:eastAsia="Calibri" w:hAnsi="Arial" w:cs="Arial"/>
          <w:sz w:val="24"/>
          <w:szCs w:val="24"/>
        </w:rPr>
        <w:t xml:space="preserve"> </w:t>
      </w:r>
    </w:p>
    <w:p w14:paraId="02EA2102" w14:textId="77777777" w:rsidR="00AA3576" w:rsidRDefault="00AA3576" w:rsidP="00AA3576">
      <w:pPr>
        <w:keepNext/>
        <w:keepLines/>
        <w:spacing w:after="0" w:line="240" w:lineRule="auto"/>
        <w:contextualSpacing/>
        <w:jc w:val="both"/>
        <w:outlineLvl w:val="0"/>
        <w:rPr>
          <w:rFonts w:ascii="Arial" w:eastAsia="Calibri" w:hAnsi="Arial" w:cs="Arial"/>
          <w:sz w:val="24"/>
          <w:szCs w:val="24"/>
        </w:rPr>
      </w:pPr>
      <w:r>
        <w:rPr>
          <w:rFonts w:ascii="Arial" w:eastAsia="Calibri" w:hAnsi="Arial" w:cs="Arial"/>
          <w:sz w:val="24"/>
          <w:szCs w:val="24"/>
        </w:rPr>
        <w:t xml:space="preserve">Demandado: Nación – Ministerio de Educación Nacional – Fondo Nacional de Prestaciones Sociales del Magisterio FOMAG </w:t>
      </w:r>
    </w:p>
    <w:p w14:paraId="6B00EE4A" w14:textId="38077EF1" w:rsidR="00AA3576" w:rsidRDefault="00AA3576" w:rsidP="00AA3576">
      <w:pPr>
        <w:keepNext/>
        <w:keepLines/>
        <w:spacing w:after="0" w:line="240" w:lineRule="auto"/>
        <w:contextualSpacing/>
        <w:jc w:val="both"/>
        <w:outlineLvl w:val="0"/>
        <w:rPr>
          <w:rFonts w:ascii="Arial" w:eastAsia="Calibri" w:hAnsi="Arial" w:cs="Arial"/>
          <w:sz w:val="24"/>
          <w:szCs w:val="24"/>
        </w:rPr>
      </w:pPr>
      <w:r>
        <w:rPr>
          <w:rFonts w:ascii="Arial" w:eastAsia="Calibri" w:hAnsi="Arial" w:cs="Arial"/>
          <w:sz w:val="24"/>
          <w:szCs w:val="24"/>
        </w:rPr>
        <w:t>Radicación: 20-001-33-33-003-201</w:t>
      </w:r>
      <w:r w:rsidR="0099588B">
        <w:rPr>
          <w:rFonts w:ascii="Arial" w:eastAsia="Calibri" w:hAnsi="Arial" w:cs="Arial"/>
          <w:sz w:val="24"/>
          <w:szCs w:val="24"/>
        </w:rPr>
        <w:t>6</w:t>
      </w:r>
      <w:r>
        <w:rPr>
          <w:rFonts w:ascii="Arial" w:eastAsia="Calibri" w:hAnsi="Arial" w:cs="Arial"/>
          <w:sz w:val="24"/>
          <w:szCs w:val="24"/>
        </w:rPr>
        <w:t>-00</w:t>
      </w:r>
      <w:r w:rsidR="0099588B">
        <w:rPr>
          <w:rFonts w:ascii="Arial" w:eastAsia="Calibri" w:hAnsi="Arial" w:cs="Arial"/>
          <w:sz w:val="24"/>
          <w:szCs w:val="24"/>
        </w:rPr>
        <w:t>379</w:t>
      </w:r>
      <w:r>
        <w:rPr>
          <w:rFonts w:ascii="Arial" w:eastAsia="Calibri" w:hAnsi="Arial" w:cs="Arial"/>
          <w:sz w:val="24"/>
          <w:szCs w:val="24"/>
        </w:rPr>
        <w:t>-00</w:t>
      </w:r>
    </w:p>
    <w:p w14:paraId="1DC27F4E" w14:textId="77777777" w:rsidR="00AA3576" w:rsidRDefault="00AA3576" w:rsidP="00AA3576">
      <w:pPr>
        <w:keepNext/>
        <w:keepLines/>
        <w:spacing w:after="0" w:line="240" w:lineRule="auto"/>
        <w:contextualSpacing/>
        <w:jc w:val="both"/>
        <w:outlineLvl w:val="0"/>
        <w:rPr>
          <w:rFonts w:ascii="Arial" w:eastAsia="Calibri" w:hAnsi="Arial" w:cs="Arial"/>
          <w:sz w:val="24"/>
          <w:szCs w:val="24"/>
        </w:rPr>
      </w:pPr>
    </w:p>
    <w:p w14:paraId="47FEED90" w14:textId="77777777" w:rsidR="00AA3576" w:rsidRDefault="00AA3576" w:rsidP="00AA3576">
      <w:pPr>
        <w:pStyle w:val="Prrafodelista"/>
        <w:keepNext/>
        <w:keepLines/>
        <w:spacing w:after="0" w:line="240" w:lineRule="auto"/>
        <w:ind w:left="1080"/>
        <w:outlineLvl w:val="0"/>
        <w:rPr>
          <w:rFonts w:ascii="Arial" w:eastAsia="Calibri" w:hAnsi="Arial" w:cs="Arial"/>
          <w:sz w:val="24"/>
          <w:szCs w:val="24"/>
        </w:rPr>
      </w:pPr>
      <w:r>
        <w:rPr>
          <w:rFonts w:ascii="Arial" w:eastAsia="Calibri" w:hAnsi="Arial" w:cs="Arial"/>
          <w:sz w:val="24"/>
          <w:szCs w:val="24"/>
        </w:rPr>
        <w:t xml:space="preserve">                                I.- ASUNTO</w:t>
      </w:r>
    </w:p>
    <w:p w14:paraId="19EC8428" w14:textId="77777777" w:rsidR="00AA3576" w:rsidRPr="00F55B9A" w:rsidRDefault="00AA3576" w:rsidP="00AA3576">
      <w:pPr>
        <w:pStyle w:val="Prrafodelista"/>
        <w:keepNext/>
        <w:keepLines/>
        <w:spacing w:after="0" w:line="240" w:lineRule="auto"/>
        <w:ind w:left="1080"/>
        <w:outlineLvl w:val="0"/>
        <w:rPr>
          <w:rFonts w:ascii="Arial" w:eastAsia="Calibri" w:hAnsi="Arial" w:cs="Arial"/>
          <w:sz w:val="14"/>
          <w:szCs w:val="14"/>
        </w:rPr>
      </w:pPr>
    </w:p>
    <w:p w14:paraId="2196BA04" w14:textId="77777777" w:rsidR="00AA3576" w:rsidRDefault="00AA3576" w:rsidP="00AA3576">
      <w:pPr>
        <w:keepNext/>
        <w:keepLines/>
        <w:spacing w:after="0" w:line="240" w:lineRule="auto"/>
        <w:contextualSpacing/>
        <w:jc w:val="both"/>
        <w:outlineLvl w:val="0"/>
        <w:rPr>
          <w:rFonts w:ascii="Arial" w:eastAsia="Calibri" w:hAnsi="Arial" w:cs="Arial"/>
          <w:sz w:val="24"/>
          <w:szCs w:val="24"/>
        </w:rPr>
      </w:pPr>
      <w:r w:rsidRPr="00AC7E06">
        <w:rPr>
          <w:rFonts w:ascii="Arial" w:eastAsia="Calibri" w:hAnsi="Arial" w:cs="Arial"/>
          <w:sz w:val="24"/>
          <w:szCs w:val="24"/>
        </w:rPr>
        <w:t>Con fundamento en lo dispuesto en el artículo 182A num. 1, literales a), b) y c) de la Ley 1437 de 2011</w:t>
      </w:r>
      <w:r>
        <w:rPr>
          <w:rFonts w:ascii="Arial" w:eastAsia="Calibri" w:hAnsi="Arial" w:cs="Arial"/>
          <w:sz w:val="24"/>
          <w:szCs w:val="24"/>
        </w:rPr>
        <w:t>,</w:t>
      </w:r>
      <w:r w:rsidRPr="00AC7E06">
        <w:rPr>
          <w:rFonts w:ascii="Arial" w:eastAsia="Calibri" w:hAnsi="Arial" w:cs="Arial"/>
          <w:sz w:val="24"/>
          <w:szCs w:val="24"/>
        </w:rPr>
        <w:t xml:space="preserve"> esta Judicatura se dispone a proferir sentencia anticipada dentro del sub-lite, previas las siguientes </w:t>
      </w:r>
      <w:r>
        <w:rPr>
          <w:rFonts w:ascii="Arial" w:eastAsia="Calibri" w:hAnsi="Arial" w:cs="Arial"/>
          <w:sz w:val="24"/>
          <w:szCs w:val="24"/>
        </w:rPr>
        <w:t>determinaciones</w:t>
      </w:r>
      <w:r w:rsidRPr="00AC7E06">
        <w:rPr>
          <w:rFonts w:ascii="Arial" w:eastAsia="Calibri" w:hAnsi="Arial" w:cs="Arial"/>
          <w:sz w:val="24"/>
          <w:szCs w:val="24"/>
        </w:rPr>
        <w:t>:</w:t>
      </w:r>
    </w:p>
    <w:p w14:paraId="569ACF40" w14:textId="77777777" w:rsidR="00AA3576" w:rsidRPr="00756A9D" w:rsidRDefault="00AA3576" w:rsidP="00AA3576">
      <w:pPr>
        <w:keepNext/>
        <w:keepLines/>
        <w:spacing w:after="0" w:line="240" w:lineRule="auto"/>
        <w:contextualSpacing/>
        <w:jc w:val="both"/>
        <w:outlineLvl w:val="0"/>
        <w:rPr>
          <w:rFonts w:ascii="Arial" w:eastAsia="Calibri" w:hAnsi="Arial" w:cs="Arial"/>
          <w:sz w:val="18"/>
          <w:szCs w:val="24"/>
        </w:rPr>
      </w:pPr>
    </w:p>
    <w:p w14:paraId="0C0DAFC8" w14:textId="77777777" w:rsidR="00AA3576" w:rsidRDefault="00AA3576" w:rsidP="00AA3576">
      <w:pPr>
        <w:keepNext/>
        <w:keepLines/>
        <w:spacing w:after="0" w:line="240" w:lineRule="auto"/>
        <w:contextualSpacing/>
        <w:jc w:val="center"/>
        <w:outlineLvl w:val="0"/>
        <w:rPr>
          <w:rFonts w:ascii="Arial" w:eastAsia="Calibri" w:hAnsi="Arial" w:cs="Arial"/>
          <w:sz w:val="24"/>
          <w:szCs w:val="24"/>
        </w:rPr>
      </w:pPr>
      <w:r w:rsidRPr="00C61679">
        <w:rPr>
          <w:rFonts w:ascii="Arial" w:eastAsia="Calibri" w:hAnsi="Arial" w:cs="Arial"/>
          <w:sz w:val="24"/>
          <w:szCs w:val="24"/>
        </w:rPr>
        <w:t>II. DE LAS PRUEBAS</w:t>
      </w:r>
      <w:r>
        <w:rPr>
          <w:rStyle w:val="Refdenotaalpie"/>
          <w:rFonts w:ascii="Arial" w:eastAsia="Calibri" w:hAnsi="Arial" w:cs="Arial"/>
          <w:sz w:val="24"/>
          <w:szCs w:val="24"/>
        </w:rPr>
        <w:footnoteReference w:id="1"/>
      </w:r>
    </w:p>
    <w:p w14:paraId="041D43DB" w14:textId="77777777" w:rsidR="00AA3576" w:rsidRPr="00F55B9A" w:rsidRDefault="00AA3576" w:rsidP="00AA3576">
      <w:pPr>
        <w:keepNext/>
        <w:keepLines/>
        <w:spacing w:after="0" w:line="240" w:lineRule="auto"/>
        <w:contextualSpacing/>
        <w:jc w:val="center"/>
        <w:outlineLvl w:val="0"/>
        <w:rPr>
          <w:rFonts w:ascii="Arial" w:eastAsia="Calibri" w:hAnsi="Arial" w:cs="Arial"/>
          <w:sz w:val="14"/>
          <w:szCs w:val="14"/>
        </w:rPr>
      </w:pPr>
    </w:p>
    <w:p w14:paraId="71C0E4E0" w14:textId="03714121" w:rsidR="00AA3576" w:rsidRDefault="00AA3576" w:rsidP="00AA3576">
      <w:pPr>
        <w:keepNext/>
        <w:keepLines/>
        <w:spacing w:after="0" w:line="240" w:lineRule="auto"/>
        <w:contextualSpacing/>
        <w:jc w:val="both"/>
        <w:outlineLvl w:val="0"/>
        <w:rPr>
          <w:rFonts w:ascii="Arial" w:eastAsia="Calibri" w:hAnsi="Arial" w:cs="Arial"/>
          <w:sz w:val="24"/>
          <w:szCs w:val="24"/>
        </w:rPr>
      </w:pPr>
      <w:r>
        <w:rPr>
          <w:rFonts w:ascii="Arial" w:eastAsia="Calibri" w:hAnsi="Arial" w:cs="Arial"/>
          <w:sz w:val="24"/>
          <w:szCs w:val="24"/>
        </w:rPr>
        <w:t>Ténganse como pruebas los documentos aportados con la demanda</w:t>
      </w:r>
      <w:r w:rsidR="00606552">
        <w:rPr>
          <w:rFonts w:ascii="Arial" w:eastAsia="Calibri" w:hAnsi="Arial" w:cs="Arial"/>
          <w:sz w:val="24"/>
          <w:szCs w:val="24"/>
        </w:rPr>
        <w:t xml:space="preserve"> y su contestación</w:t>
      </w:r>
      <w:r>
        <w:rPr>
          <w:rFonts w:ascii="Arial" w:eastAsia="Calibri" w:hAnsi="Arial" w:cs="Arial"/>
          <w:sz w:val="24"/>
          <w:szCs w:val="24"/>
        </w:rPr>
        <w:t xml:space="preserve">, a los cuales se les dará el valor correspondiente al momento de dictar sentencia. </w:t>
      </w:r>
    </w:p>
    <w:p w14:paraId="101947AF" w14:textId="77777777" w:rsidR="00AA3576" w:rsidRPr="00F55B9A" w:rsidRDefault="00AA3576" w:rsidP="00AA3576">
      <w:pPr>
        <w:keepNext/>
        <w:keepLines/>
        <w:spacing w:after="0" w:line="240" w:lineRule="auto"/>
        <w:contextualSpacing/>
        <w:jc w:val="both"/>
        <w:outlineLvl w:val="0"/>
        <w:rPr>
          <w:rFonts w:ascii="Arial" w:eastAsia="Calibri" w:hAnsi="Arial" w:cs="Arial"/>
          <w:sz w:val="18"/>
          <w:szCs w:val="18"/>
        </w:rPr>
      </w:pPr>
    </w:p>
    <w:p w14:paraId="32AD675B" w14:textId="77777777" w:rsidR="00AA3576" w:rsidRDefault="00AA3576" w:rsidP="00AA3576">
      <w:pPr>
        <w:keepNext/>
        <w:keepLines/>
        <w:spacing w:after="0" w:line="240" w:lineRule="auto"/>
        <w:contextualSpacing/>
        <w:jc w:val="center"/>
        <w:outlineLvl w:val="0"/>
        <w:rPr>
          <w:rFonts w:ascii="Arial" w:eastAsia="Calibri" w:hAnsi="Arial" w:cs="Arial"/>
          <w:sz w:val="24"/>
          <w:szCs w:val="24"/>
        </w:rPr>
      </w:pPr>
      <w:r>
        <w:rPr>
          <w:rFonts w:ascii="Arial" w:eastAsia="Calibri" w:hAnsi="Arial" w:cs="Arial"/>
          <w:sz w:val="24"/>
          <w:szCs w:val="24"/>
        </w:rPr>
        <w:t>III.- FIJACIÓN DEL LITIGIO</w:t>
      </w:r>
      <w:r>
        <w:rPr>
          <w:rStyle w:val="Refdenotaalpie"/>
          <w:rFonts w:ascii="Arial" w:eastAsia="Calibri" w:hAnsi="Arial" w:cs="Arial"/>
          <w:sz w:val="24"/>
          <w:szCs w:val="24"/>
        </w:rPr>
        <w:footnoteReference w:id="2"/>
      </w:r>
    </w:p>
    <w:p w14:paraId="165DCED8" w14:textId="77777777" w:rsidR="00CF3BE0" w:rsidRPr="00F55B9A" w:rsidRDefault="00CF3BE0" w:rsidP="00AA3576">
      <w:pPr>
        <w:keepNext/>
        <w:keepLines/>
        <w:spacing w:after="0" w:line="240" w:lineRule="auto"/>
        <w:contextualSpacing/>
        <w:jc w:val="both"/>
        <w:outlineLvl w:val="0"/>
        <w:rPr>
          <w:rFonts w:ascii="Arial" w:eastAsia="Calibri" w:hAnsi="Arial" w:cs="Arial"/>
          <w:sz w:val="16"/>
          <w:szCs w:val="16"/>
        </w:rPr>
      </w:pPr>
    </w:p>
    <w:p w14:paraId="3C57E1D5" w14:textId="77777777" w:rsidR="003D23A0" w:rsidRDefault="00AA3576" w:rsidP="003D23A0">
      <w:pPr>
        <w:keepNext/>
        <w:keepLines/>
        <w:spacing w:after="0" w:line="240" w:lineRule="auto"/>
        <w:contextualSpacing/>
        <w:jc w:val="both"/>
        <w:outlineLvl w:val="0"/>
        <w:rPr>
          <w:rFonts w:ascii="Arial" w:eastAsia="Calibri" w:hAnsi="Arial" w:cs="Arial"/>
          <w:sz w:val="24"/>
          <w:szCs w:val="24"/>
        </w:rPr>
      </w:pPr>
      <w:r>
        <w:rPr>
          <w:rFonts w:ascii="Arial" w:eastAsia="Calibri" w:hAnsi="Arial" w:cs="Arial"/>
          <w:sz w:val="24"/>
          <w:szCs w:val="24"/>
        </w:rPr>
        <w:t>El Despacho advierte que el litigio en el presente asunto se circunscribe a determinar</w:t>
      </w:r>
      <w:r w:rsidR="003D23A0">
        <w:rPr>
          <w:rFonts w:ascii="Arial" w:eastAsia="Calibri" w:hAnsi="Arial" w:cs="Arial"/>
          <w:sz w:val="24"/>
          <w:szCs w:val="24"/>
        </w:rPr>
        <w:t>:</w:t>
      </w:r>
    </w:p>
    <w:p w14:paraId="3FED2467" w14:textId="77777777" w:rsidR="003D23A0" w:rsidRDefault="003D23A0" w:rsidP="003D23A0">
      <w:pPr>
        <w:keepNext/>
        <w:keepLines/>
        <w:spacing w:after="0" w:line="240" w:lineRule="auto"/>
        <w:contextualSpacing/>
        <w:jc w:val="both"/>
        <w:outlineLvl w:val="0"/>
        <w:rPr>
          <w:rFonts w:ascii="Arial" w:eastAsia="Calibri" w:hAnsi="Arial" w:cs="Arial"/>
          <w:sz w:val="24"/>
          <w:szCs w:val="24"/>
        </w:rPr>
      </w:pPr>
    </w:p>
    <w:p w14:paraId="5FE9C2DC" w14:textId="55E6A4A4" w:rsidR="004D61DC" w:rsidRDefault="003D23A0" w:rsidP="003D23A0">
      <w:pPr>
        <w:keepNext/>
        <w:keepLines/>
        <w:spacing w:after="0" w:line="240" w:lineRule="auto"/>
        <w:jc w:val="both"/>
        <w:outlineLvl w:val="0"/>
        <w:rPr>
          <w:rFonts w:ascii="Arial" w:eastAsia="Calibri" w:hAnsi="Arial" w:cs="Arial"/>
          <w:sz w:val="24"/>
          <w:szCs w:val="24"/>
        </w:rPr>
      </w:pPr>
      <w:r w:rsidRPr="00785A21">
        <w:rPr>
          <w:rFonts w:ascii="Arial" w:eastAsia="Calibri" w:hAnsi="Arial" w:cs="Arial"/>
          <w:sz w:val="24"/>
          <w:szCs w:val="24"/>
        </w:rPr>
        <w:t>i) Si hay lugar a declarar la nulidad del acto</w:t>
      </w:r>
      <w:r w:rsidR="00690F71">
        <w:rPr>
          <w:rFonts w:ascii="Arial" w:eastAsia="Calibri" w:hAnsi="Arial" w:cs="Arial"/>
          <w:sz w:val="24"/>
          <w:szCs w:val="24"/>
        </w:rPr>
        <w:t xml:space="preserve"> </w:t>
      </w:r>
      <w:r w:rsidR="004D61DC">
        <w:rPr>
          <w:rFonts w:ascii="Arial" w:eastAsia="Calibri" w:hAnsi="Arial" w:cs="Arial"/>
          <w:sz w:val="24"/>
          <w:szCs w:val="24"/>
        </w:rPr>
        <w:t xml:space="preserve"> </w:t>
      </w:r>
      <w:r w:rsidR="00690F71">
        <w:rPr>
          <w:rFonts w:ascii="Arial" w:eastAsia="Calibri" w:hAnsi="Arial" w:cs="Arial"/>
          <w:sz w:val="24"/>
          <w:szCs w:val="24"/>
        </w:rPr>
        <w:t xml:space="preserve">administrativo OFPSM No. 0840 de fecha 8 de agosto de 2016, en cuanto negó el </w:t>
      </w:r>
      <w:r w:rsidR="004D61DC">
        <w:rPr>
          <w:rFonts w:ascii="Arial" w:eastAsia="Calibri" w:hAnsi="Arial" w:cs="Arial"/>
          <w:sz w:val="24"/>
          <w:szCs w:val="24"/>
        </w:rPr>
        <w:t>derecho a pagar la sanción por mora a la accionante.</w:t>
      </w:r>
    </w:p>
    <w:p w14:paraId="491231F9" w14:textId="77777777" w:rsidR="003D23A0" w:rsidRPr="00F55B9A" w:rsidRDefault="003D23A0" w:rsidP="003D23A0">
      <w:pPr>
        <w:keepNext/>
        <w:keepLines/>
        <w:spacing w:after="0" w:line="240" w:lineRule="auto"/>
        <w:jc w:val="both"/>
        <w:outlineLvl w:val="0"/>
        <w:rPr>
          <w:rFonts w:ascii="Arial" w:eastAsia="Calibri" w:hAnsi="Arial" w:cs="Arial"/>
          <w:sz w:val="20"/>
          <w:szCs w:val="20"/>
        </w:rPr>
      </w:pPr>
    </w:p>
    <w:p w14:paraId="5A1408FA" w14:textId="77777777" w:rsidR="003D23A0" w:rsidRDefault="003D23A0" w:rsidP="003D23A0">
      <w:pPr>
        <w:keepNext/>
        <w:keepLines/>
        <w:spacing w:after="0" w:line="240" w:lineRule="auto"/>
        <w:jc w:val="both"/>
        <w:outlineLvl w:val="0"/>
        <w:rPr>
          <w:rFonts w:ascii="Arial" w:eastAsia="Calibri" w:hAnsi="Arial" w:cs="Arial"/>
          <w:sz w:val="24"/>
          <w:szCs w:val="24"/>
        </w:rPr>
      </w:pPr>
      <w:r>
        <w:rPr>
          <w:rFonts w:ascii="Arial" w:eastAsia="Calibri" w:hAnsi="Arial" w:cs="Arial"/>
          <w:sz w:val="24"/>
          <w:szCs w:val="24"/>
        </w:rPr>
        <w:t xml:space="preserve">ii) Si como consecuencia de lo anterior, es procedente condenar a la demandada al reconocimiento y pago de la sanción por mora establecida en la Ley 244 de 1995 y Ley 1071 de 2006, equivalente a un día de salario por cada día de retardo, contados desde los 70 días hábiles después de haber radicado la solicitud de la cesantía ante la entidad demandada, y hasta cuando se hizo efectivo el pago de la misma. </w:t>
      </w:r>
    </w:p>
    <w:p w14:paraId="700AE862" w14:textId="127F7D0D" w:rsidR="00AA3576" w:rsidRDefault="00AA3576" w:rsidP="003D23A0">
      <w:pPr>
        <w:keepNext/>
        <w:keepLines/>
        <w:spacing w:after="0" w:line="240" w:lineRule="auto"/>
        <w:contextualSpacing/>
        <w:jc w:val="both"/>
        <w:outlineLvl w:val="0"/>
        <w:rPr>
          <w:rFonts w:ascii="Arial" w:eastAsia="Calibri" w:hAnsi="Arial" w:cs="Arial"/>
          <w:sz w:val="24"/>
          <w:szCs w:val="24"/>
        </w:rPr>
      </w:pPr>
      <w:r>
        <w:rPr>
          <w:rFonts w:ascii="Arial" w:eastAsia="Calibri" w:hAnsi="Arial" w:cs="Arial"/>
          <w:sz w:val="24"/>
          <w:szCs w:val="24"/>
        </w:rPr>
        <w:t xml:space="preserve"> </w:t>
      </w:r>
    </w:p>
    <w:p w14:paraId="2EECA17F" w14:textId="3D2B983D" w:rsidR="00AA3576" w:rsidRDefault="00AA3576" w:rsidP="00AA3576">
      <w:pPr>
        <w:keepNext/>
        <w:keepLines/>
        <w:spacing w:after="0" w:line="240" w:lineRule="auto"/>
        <w:contextualSpacing/>
        <w:jc w:val="both"/>
        <w:outlineLvl w:val="0"/>
        <w:rPr>
          <w:rFonts w:ascii="Arial" w:eastAsia="Calibri" w:hAnsi="Arial" w:cs="Arial"/>
          <w:sz w:val="24"/>
          <w:szCs w:val="24"/>
        </w:rPr>
      </w:pPr>
      <w:r>
        <w:rPr>
          <w:rFonts w:ascii="Arial" w:eastAsia="Calibri" w:hAnsi="Arial" w:cs="Arial"/>
          <w:sz w:val="24"/>
          <w:szCs w:val="24"/>
        </w:rPr>
        <w:t xml:space="preserve">Por lo expuesto, el JUZGADO </w:t>
      </w:r>
      <w:r w:rsidR="00C7495E">
        <w:rPr>
          <w:rFonts w:ascii="Arial" w:eastAsia="Calibri" w:hAnsi="Arial" w:cs="Arial"/>
          <w:sz w:val="24"/>
          <w:szCs w:val="24"/>
        </w:rPr>
        <w:t xml:space="preserve">DOCE </w:t>
      </w:r>
      <w:r>
        <w:rPr>
          <w:rFonts w:ascii="Arial" w:eastAsia="Calibri" w:hAnsi="Arial" w:cs="Arial"/>
          <w:sz w:val="24"/>
          <w:szCs w:val="24"/>
        </w:rPr>
        <w:t xml:space="preserve">ADMINISTRATIVO DE </w:t>
      </w:r>
      <w:r w:rsidR="00C7495E">
        <w:rPr>
          <w:rFonts w:ascii="Arial" w:eastAsia="Calibri" w:hAnsi="Arial" w:cs="Arial"/>
          <w:sz w:val="24"/>
          <w:szCs w:val="24"/>
        </w:rPr>
        <w:t>TOMALOTUYO</w:t>
      </w:r>
      <w:r>
        <w:rPr>
          <w:rFonts w:ascii="Arial" w:eastAsia="Calibri" w:hAnsi="Arial" w:cs="Arial"/>
          <w:sz w:val="24"/>
          <w:szCs w:val="24"/>
        </w:rPr>
        <w:t xml:space="preserve">, </w:t>
      </w:r>
    </w:p>
    <w:p w14:paraId="46FC5709" w14:textId="77777777" w:rsidR="00AA3576" w:rsidRPr="00F55B9A" w:rsidRDefault="00AA3576" w:rsidP="00AA3576">
      <w:pPr>
        <w:keepNext/>
        <w:keepLines/>
        <w:spacing w:after="0" w:line="240" w:lineRule="auto"/>
        <w:contextualSpacing/>
        <w:jc w:val="both"/>
        <w:outlineLvl w:val="0"/>
        <w:rPr>
          <w:rFonts w:ascii="Arial" w:eastAsia="Calibri" w:hAnsi="Arial" w:cs="Arial"/>
          <w:sz w:val="12"/>
          <w:szCs w:val="12"/>
        </w:rPr>
      </w:pPr>
    </w:p>
    <w:p w14:paraId="59A3BC33" w14:textId="77777777" w:rsidR="00AA3576" w:rsidRDefault="00AA3576" w:rsidP="00AA3576">
      <w:pPr>
        <w:keepNext/>
        <w:keepLines/>
        <w:spacing w:after="0" w:line="240" w:lineRule="auto"/>
        <w:contextualSpacing/>
        <w:jc w:val="center"/>
        <w:outlineLvl w:val="0"/>
        <w:rPr>
          <w:rFonts w:ascii="Arial" w:eastAsia="Calibri" w:hAnsi="Arial" w:cs="Arial"/>
          <w:sz w:val="24"/>
          <w:szCs w:val="24"/>
        </w:rPr>
      </w:pPr>
      <w:r>
        <w:rPr>
          <w:rFonts w:ascii="Arial" w:eastAsia="Calibri" w:hAnsi="Arial" w:cs="Arial"/>
          <w:sz w:val="24"/>
          <w:szCs w:val="24"/>
        </w:rPr>
        <w:t>RESUELVE:</w:t>
      </w:r>
    </w:p>
    <w:p w14:paraId="7977D8C0" w14:textId="77777777" w:rsidR="00AA3576" w:rsidRPr="00163048" w:rsidRDefault="00AA3576" w:rsidP="00AA3576">
      <w:pPr>
        <w:keepNext/>
        <w:keepLines/>
        <w:spacing w:after="0" w:line="240" w:lineRule="auto"/>
        <w:contextualSpacing/>
        <w:jc w:val="center"/>
        <w:outlineLvl w:val="0"/>
        <w:rPr>
          <w:rFonts w:ascii="Arial" w:eastAsia="Calibri" w:hAnsi="Arial" w:cs="Arial"/>
          <w:sz w:val="20"/>
          <w:szCs w:val="24"/>
        </w:rPr>
      </w:pPr>
    </w:p>
    <w:p w14:paraId="05C330FE" w14:textId="77777777" w:rsidR="00AA3576" w:rsidRDefault="00AA3576" w:rsidP="00AA3576">
      <w:pPr>
        <w:keepNext/>
        <w:keepLines/>
        <w:spacing w:after="0" w:line="240" w:lineRule="auto"/>
        <w:contextualSpacing/>
        <w:jc w:val="both"/>
        <w:outlineLvl w:val="0"/>
        <w:rPr>
          <w:rFonts w:ascii="Arial" w:eastAsia="Calibri" w:hAnsi="Arial" w:cs="Arial"/>
          <w:sz w:val="24"/>
          <w:szCs w:val="24"/>
        </w:rPr>
      </w:pPr>
      <w:r>
        <w:rPr>
          <w:rFonts w:ascii="Arial" w:eastAsia="Calibri" w:hAnsi="Arial" w:cs="Arial"/>
          <w:sz w:val="24"/>
          <w:szCs w:val="24"/>
        </w:rPr>
        <w:t>PRIMERO: Prescindir de la audiencia inicial prevista en el artículo 180 del CPACA.</w:t>
      </w:r>
    </w:p>
    <w:p w14:paraId="2C3B41D6" w14:textId="77777777" w:rsidR="00AA3576" w:rsidRDefault="00AA3576" w:rsidP="00AA3576">
      <w:pPr>
        <w:keepNext/>
        <w:keepLines/>
        <w:spacing w:after="0" w:line="240" w:lineRule="auto"/>
        <w:contextualSpacing/>
        <w:jc w:val="both"/>
        <w:outlineLvl w:val="0"/>
        <w:rPr>
          <w:rFonts w:ascii="Arial" w:eastAsia="Calibri" w:hAnsi="Arial" w:cs="Arial"/>
          <w:sz w:val="24"/>
          <w:szCs w:val="24"/>
        </w:rPr>
      </w:pPr>
    </w:p>
    <w:p w14:paraId="7859861B" w14:textId="5ABC7DC9" w:rsidR="00AA3576" w:rsidRDefault="00AA3576" w:rsidP="00AA3576">
      <w:pPr>
        <w:keepNext/>
        <w:keepLines/>
        <w:spacing w:after="0" w:line="240" w:lineRule="auto"/>
        <w:contextualSpacing/>
        <w:jc w:val="both"/>
        <w:outlineLvl w:val="0"/>
        <w:rPr>
          <w:rFonts w:ascii="Arial" w:eastAsia="Calibri" w:hAnsi="Arial" w:cs="Arial"/>
          <w:sz w:val="24"/>
          <w:szCs w:val="24"/>
        </w:rPr>
      </w:pPr>
      <w:r>
        <w:rPr>
          <w:rFonts w:ascii="Arial" w:eastAsia="Calibri" w:hAnsi="Arial" w:cs="Arial"/>
          <w:sz w:val="24"/>
          <w:szCs w:val="24"/>
        </w:rPr>
        <w:lastRenderedPageBreak/>
        <w:t>SEGUNDO: Incorporar al expediente las pruebas documentales allegadas con la demanda</w:t>
      </w:r>
      <w:r w:rsidR="005B55B8">
        <w:rPr>
          <w:rFonts w:ascii="Arial" w:eastAsia="Calibri" w:hAnsi="Arial" w:cs="Arial"/>
          <w:sz w:val="24"/>
          <w:szCs w:val="24"/>
        </w:rPr>
        <w:t xml:space="preserve"> y su contestación</w:t>
      </w:r>
      <w:r>
        <w:rPr>
          <w:rFonts w:ascii="Arial" w:eastAsia="Calibri" w:hAnsi="Arial" w:cs="Arial"/>
          <w:sz w:val="24"/>
          <w:szCs w:val="24"/>
        </w:rPr>
        <w:t>, las cuales se admiten como tales dentro de esta litis.</w:t>
      </w:r>
    </w:p>
    <w:p w14:paraId="1D7AB212" w14:textId="77777777" w:rsidR="00AA3576" w:rsidRDefault="00AA3576" w:rsidP="00AA3576">
      <w:pPr>
        <w:keepNext/>
        <w:keepLines/>
        <w:spacing w:after="0" w:line="240" w:lineRule="auto"/>
        <w:contextualSpacing/>
        <w:jc w:val="both"/>
        <w:outlineLvl w:val="0"/>
        <w:rPr>
          <w:rFonts w:ascii="Arial" w:eastAsia="Calibri" w:hAnsi="Arial" w:cs="Arial"/>
          <w:sz w:val="24"/>
          <w:szCs w:val="24"/>
        </w:rPr>
      </w:pPr>
    </w:p>
    <w:p w14:paraId="070E248D" w14:textId="77777777" w:rsidR="00AA3576" w:rsidRDefault="00AA3576" w:rsidP="00AA3576">
      <w:pPr>
        <w:keepNext/>
        <w:keepLines/>
        <w:spacing w:after="0" w:line="240" w:lineRule="auto"/>
        <w:contextualSpacing/>
        <w:jc w:val="both"/>
        <w:outlineLvl w:val="0"/>
        <w:rPr>
          <w:rFonts w:ascii="Arial" w:eastAsia="Calibri" w:hAnsi="Arial" w:cs="Arial"/>
          <w:sz w:val="24"/>
          <w:szCs w:val="24"/>
        </w:rPr>
      </w:pPr>
      <w:r>
        <w:rPr>
          <w:rFonts w:ascii="Arial" w:eastAsia="Calibri" w:hAnsi="Arial" w:cs="Arial"/>
          <w:sz w:val="24"/>
          <w:szCs w:val="24"/>
        </w:rPr>
        <w:t>TERCERO: Correr traslado a las partes por el término de diez (10) días para que presenten sus alegatos de conclusión de manera escrita, tal como lo dispone el artículo 181 del CPACA. Oportunidad dentro de la cual el Ministerio Público podrá emitir su concepto.</w:t>
      </w:r>
    </w:p>
    <w:p w14:paraId="449CD7B1" w14:textId="77777777" w:rsidR="00AA3576" w:rsidRDefault="00AA3576" w:rsidP="00AA3576">
      <w:pPr>
        <w:keepNext/>
        <w:keepLines/>
        <w:spacing w:after="0" w:line="240" w:lineRule="auto"/>
        <w:contextualSpacing/>
        <w:jc w:val="both"/>
        <w:outlineLvl w:val="0"/>
        <w:rPr>
          <w:rFonts w:ascii="Arial" w:eastAsia="Calibri" w:hAnsi="Arial" w:cs="Arial"/>
          <w:sz w:val="24"/>
          <w:szCs w:val="24"/>
        </w:rPr>
      </w:pPr>
    </w:p>
    <w:p w14:paraId="500B6A0E" w14:textId="77777777" w:rsidR="00AA3576" w:rsidRDefault="00AA3576" w:rsidP="00AA3576">
      <w:pPr>
        <w:keepNext/>
        <w:keepLines/>
        <w:spacing w:after="0" w:line="240" w:lineRule="auto"/>
        <w:contextualSpacing/>
        <w:jc w:val="both"/>
        <w:outlineLvl w:val="0"/>
        <w:rPr>
          <w:rFonts w:ascii="Arial" w:eastAsia="Calibri" w:hAnsi="Arial" w:cs="Arial"/>
          <w:sz w:val="24"/>
          <w:szCs w:val="24"/>
        </w:rPr>
      </w:pPr>
      <w:r>
        <w:rPr>
          <w:rFonts w:ascii="Arial" w:eastAsia="Calibri" w:hAnsi="Arial" w:cs="Arial"/>
          <w:sz w:val="24"/>
          <w:szCs w:val="24"/>
        </w:rPr>
        <w:t xml:space="preserve">CUARTO: Vencido el término anterior, ingresar el expediente al Despacho para dictar sentencia. </w:t>
      </w:r>
    </w:p>
    <w:p w14:paraId="60F0833C" w14:textId="77777777" w:rsidR="00AA3576" w:rsidRDefault="00AA3576" w:rsidP="00AA3576">
      <w:pPr>
        <w:keepNext/>
        <w:keepLines/>
        <w:spacing w:after="0" w:line="240" w:lineRule="auto"/>
        <w:contextualSpacing/>
        <w:jc w:val="both"/>
        <w:outlineLvl w:val="0"/>
        <w:rPr>
          <w:rFonts w:ascii="Arial" w:eastAsia="Calibri" w:hAnsi="Arial" w:cs="Arial"/>
          <w:sz w:val="24"/>
          <w:szCs w:val="24"/>
        </w:rPr>
      </w:pPr>
    </w:p>
    <w:p w14:paraId="05E78112" w14:textId="77777777" w:rsidR="00AA3576" w:rsidRDefault="00AA3576" w:rsidP="00AA3576">
      <w:pPr>
        <w:keepNext/>
        <w:keepLines/>
        <w:spacing w:after="0" w:line="240" w:lineRule="auto"/>
        <w:contextualSpacing/>
        <w:jc w:val="both"/>
        <w:outlineLvl w:val="0"/>
        <w:rPr>
          <w:rFonts w:ascii="Arial" w:eastAsia="Calibri" w:hAnsi="Arial" w:cs="Arial"/>
          <w:sz w:val="24"/>
          <w:szCs w:val="24"/>
        </w:rPr>
      </w:pPr>
      <w:r>
        <w:rPr>
          <w:rFonts w:ascii="Arial" w:eastAsia="Calibri" w:hAnsi="Arial" w:cs="Arial"/>
          <w:sz w:val="24"/>
          <w:szCs w:val="24"/>
        </w:rPr>
        <w:t xml:space="preserve">QUINTO: Se recuerda a los sujetos procesales y demás intervinientes, que de conformidad con el artículo 186 del CPACA, modificado por la Ley 2080 de 2021, art. 46,  el deber que les asiste de suministrar al Juzgado y a todos los demás sujetos procesales, el correo electrónico elegido para los fines del proceso o trámite y enviar a través de estos un ejemplar de todos los memoriales en formato PDF o actuaciones que realicen, simultáneamente con copia incorporada al mensaje enviado a la autoridad judicial. </w:t>
      </w:r>
    </w:p>
    <w:p w14:paraId="1D4F5513" w14:textId="77777777" w:rsidR="00AA3576" w:rsidRDefault="00AA3576" w:rsidP="00AA3576">
      <w:pPr>
        <w:keepNext/>
        <w:keepLines/>
        <w:spacing w:after="0" w:line="240" w:lineRule="auto"/>
        <w:contextualSpacing/>
        <w:jc w:val="both"/>
        <w:outlineLvl w:val="0"/>
        <w:rPr>
          <w:rFonts w:ascii="Arial" w:eastAsia="Calibri" w:hAnsi="Arial" w:cs="Arial"/>
          <w:sz w:val="24"/>
          <w:szCs w:val="24"/>
        </w:rPr>
      </w:pPr>
    </w:p>
    <w:p w14:paraId="077F82F6" w14:textId="77777777" w:rsidR="00AA3576" w:rsidRDefault="00AA3576" w:rsidP="00AA3576">
      <w:pPr>
        <w:spacing w:line="240" w:lineRule="auto"/>
        <w:jc w:val="center"/>
        <w:rPr>
          <w:rFonts w:ascii="Arial" w:hAnsi="Arial" w:cs="Arial"/>
          <w:sz w:val="24"/>
          <w:szCs w:val="24"/>
        </w:rPr>
      </w:pPr>
      <w:r>
        <w:rPr>
          <w:rFonts w:ascii="Arial" w:hAnsi="Arial" w:cs="Arial"/>
          <w:sz w:val="24"/>
          <w:szCs w:val="24"/>
        </w:rPr>
        <w:t>Notifíquese y Cúmplase.</w:t>
      </w:r>
    </w:p>
    <w:p w14:paraId="5C382B8B" w14:textId="082DF511" w:rsidR="00AA3576" w:rsidRDefault="00AA3576" w:rsidP="005B55B8">
      <w:pPr>
        <w:spacing w:after="0" w:line="360" w:lineRule="auto"/>
        <w:jc w:val="both"/>
        <w:rPr>
          <w:rFonts w:ascii="Arial" w:eastAsia="Times New Roman" w:hAnsi="Arial" w:cs="Times New Roman"/>
          <w:bCs/>
          <w:sz w:val="24"/>
          <w:szCs w:val="24"/>
          <w:lang w:val="es-ES" w:eastAsia="es-ES"/>
        </w:rPr>
      </w:pPr>
      <w:r>
        <w:rPr>
          <w:rFonts w:ascii="Arial" w:eastAsia="Times New Roman" w:hAnsi="Arial" w:cs="Times New Roman"/>
          <w:bCs/>
          <w:sz w:val="24"/>
          <w:szCs w:val="24"/>
          <w:lang w:val="es-ES" w:eastAsia="es-ES"/>
        </w:rPr>
        <w:t xml:space="preserve">       </w:t>
      </w:r>
    </w:p>
    <w:p w14:paraId="661F3ABB" w14:textId="4E59982B" w:rsidR="005B55B8" w:rsidRDefault="005B55B8" w:rsidP="005B55B8">
      <w:pPr>
        <w:spacing w:after="0" w:line="360" w:lineRule="auto"/>
        <w:jc w:val="both"/>
        <w:rPr>
          <w:rFonts w:ascii="Arial" w:hAnsi="Arial" w:cs="Arial"/>
          <w:sz w:val="24"/>
          <w:szCs w:val="24"/>
        </w:rPr>
      </w:pPr>
    </w:p>
    <w:p w14:paraId="71EB60E4" w14:textId="031A328E" w:rsidR="00AA3576" w:rsidRDefault="005B55B8" w:rsidP="00AA3576">
      <w:pPr>
        <w:spacing w:after="0" w:line="240" w:lineRule="auto"/>
        <w:jc w:val="center"/>
        <w:rPr>
          <w:rFonts w:ascii="Arial" w:hAnsi="Arial" w:cs="Arial"/>
          <w:sz w:val="24"/>
          <w:szCs w:val="24"/>
        </w:rPr>
      </w:pPr>
      <w:r>
        <w:rPr>
          <w:rFonts w:ascii="Arial" w:hAnsi="Arial" w:cs="Arial"/>
          <w:sz w:val="24"/>
          <w:szCs w:val="24"/>
        </w:rPr>
        <w:t>RAMIRO JOSÉ G</w:t>
      </w:r>
      <w:r w:rsidR="00667182">
        <w:rPr>
          <w:rFonts w:ascii="Arial" w:hAnsi="Arial" w:cs="Arial"/>
          <w:sz w:val="24"/>
          <w:szCs w:val="24"/>
        </w:rPr>
        <w:t>ARCÍA</w:t>
      </w:r>
      <w:r>
        <w:rPr>
          <w:rFonts w:ascii="Arial" w:hAnsi="Arial" w:cs="Arial"/>
          <w:sz w:val="24"/>
          <w:szCs w:val="24"/>
        </w:rPr>
        <w:t xml:space="preserve"> GOENAGA </w:t>
      </w:r>
    </w:p>
    <w:p w14:paraId="17318A09" w14:textId="0BD19071" w:rsidR="00AA3576" w:rsidRDefault="00AA3576" w:rsidP="008922F0">
      <w:pPr>
        <w:spacing w:after="0" w:line="240" w:lineRule="auto"/>
        <w:jc w:val="center"/>
        <w:rPr>
          <w:rFonts w:ascii="Arial" w:hAnsi="Arial" w:cs="Arial"/>
          <w:sz w:val="24"/>
          <w:szCs w:val="24"/>
        </w:rPr>
      </w:pPr>
      <w:r>
        <w:rPr>
          <w:rFonts w:ascii="Arial" w:hAnsi="Arial" w:cs="Arial"/>
          <w:sz w:val="24"/>
          <w:szCs w:val="24"/>
        </w:rPr>
        <w:t>Juez</w:t>
      </w:r>
    </w:p>
    <w:p w14:paraId="019F05DD" w14:textId="4CB09559" w:rsidR="00193E7D" w:rsidRDefault="00193E7D" w:rsidP="008922F0">
      <w:pPr>
        <w:spacing w:after="0" w:line="240" w:lineRule="auto"/>
        <w:jc w:val="center"/>
        <w:rPr>
          <w:rFonts w:ascii="Arial" w:hAnsi="Arial" w:cs="Arial"/>
          <w:sz w:val="24"/>
          <w:szCs w:val="24"/>
        </w:rPr>
      </w:pPr>
    </w:p>
    <w:p w14:paraId="2D5E5BAA" w14:textId="17EF5004" w:rsidR="00193E7D" w:rsidRDefault="00193E7D" w:rsidP="008922F0">
      <w:pPr>
        <w:spacing w:after="0" w:line="240" w:lineRule="auto"/>
        <w:jc w:val="center"/>
        <w:rPr>
          <w:rFonts w:ascii="Arial" w:hAnsi="Arial" w:cs="Arial"/>
          <w:sz w:val="24"/>
          <w:szCs w:val="24"/>
        </w:rPr>
      </w:pPr>
    </w:p>
    <w:p w14:paraId="52DD7953" w14:textId="4650F607" w:rsidR="00193E7D" w:rsidRPr="00193E7D" w:rsidRDefault="00193E7D" w:rsidP="00193E7D">
      <w:pPr>
        <w:spacing w:after="0" w:line="240" w:lineRule="auto"/>
        <w:rPr>
          <w:rFonts w:ascii="Arial" w:hAnsi="Arial" w:cs="Arial"/>
          <w:color w:val="FF0000"/>
          <w:sz w:val="28"/>
          <w:szCs w:val="28"/>
        </w:rPr>
      </w:pPr>
      <w:r w:rsidRPr="00193E7D">
        <w:rPr>
          <w:rFonts w:ascii="Arial" w:hAnsi="Arial" w:cs="Arial"/>
          <w:color w:val="FF0000"/>
          <w:sz w:val="28"/>
          <w:szCs w:val="28"/>
        </w:rPr>
        <w:t>.</w:t>
      </w:r>
      <w:r>
        <w:rPr>
          <w:rFonts w:ascii="Arial" w:hAnsi="Arial" w:cs="Arial"/>
          <w:color w:val="FF0000"/>
          <w:sz w:val="28"/>
          <w:szCs w:val="28"/>
        </w:rPr>
        <w:t>.</w:t>
      </w:r>
    </w:p>
    <w:sectPr w:rsidR="00193E7D" w:rsidRPr="00193E7D"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8ABAD" w14:textId="77777777" w:rsidR="001177A0" w:rsidRDefault="001177A0">
      <w:pPr>
        <w:spacing w:after="0" w:line="240" w:lineRule="auto"/>
      </w:pPr>
      <w:r>
        <w:separator/>
      </w:r>
    </w:p>
  </w:endnote>
  <w:endnote w:type="continuationSeparator" w:id="0">
    <w:p w14:paraId="06D54079" w14:textId="77777777" w:rsidR="001177A0" w:rsidRDefault="00117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1177A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1177A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24E8E" w14:textId="77777777" w:rsidR="001177A0" w:rsidRDefault="001177A0">
      <w:pPr>
        <w:spacing w:after="0" w:line="240" w:lineRule="auto"/>
      </w:pPr>
      <w:r>
        <w:separator/>
      </w:r>
    </w:p>
  </w:footnote>
  <w:footnote w:type="continuationSeparator" w:id="0">
    <w:p w14:paraId="66FA1369" w14:textId="77777777" w:rsidR="001177A0" w:rsidRDefault="001177A0">
      <w:pPr>
        <w:spacing w:after="0" w:line="240" w:lineRule="auto"/>
      </w:pPr>
      <w:r>
        <w:continuationSeparator/>
      </w:r>
    </w:p>
  </w:footnote>
  <w:footnote w:id="1">
    <w:p w14:paraId="06E39327" w14:textId="77777777" w:rsidR="00AA3576" w:rsidRPr="002B17D7" w:rsidRDefault="00AA3576" w:rsidP="00AA3576">
      <w:pPr>
        <w:pStyle w:val="Textonotapie"/>
        <w:rPr>
          <w:rFonts w:asciiTheme="minorHAnsi" w:hAnsiTheme="minorHAnsi" w:cstheme="minorHAnsi"/>
          <w:sz w:val="18"/>
          <w:szCs w:val="18"/>
          <w:lang w:val="es-CO"/>
        </w:rPr>
      </w:pPr>
      <w:r w:rsidRPr="002B17D7">
        <w:rPr>
          <w:rStyle w:val="Refdenotaalpie"/>
          <w:rFonts w:asciiTheme="minorHAnsi" w:hAnsiTheme="minorHAnsi" w:cstheme="minorHAnsi"/>
          <w:sz w:val="18"/>
          <w:szCs w:val="18"/>
        </w:rPr>
        <w:footnoteRef/>
      </w:r>
      <w:r w:rsidRPr="002B17D7">
        <w:rPr>
          <w:rFonts w:asciiTheme="minorHAnsi" w:hAnsiTheme="minorHAnsi" w:cstheme="minorHAnsi"/>
          <w:sz w:val="18"/>
          <w:szCs w:val="18"/>
        </w:rPr>
        <w:t xml:space="preserve"> </w:t>
      </w:r>
      <w:r w:rsidRPr="002B17D7">
        <w:rPr>
          <w:rFonts w:asciiTheme="minorHAnsi" w:hAnsiTheme="minorHAnsi" w:cstheme="minorHAnsi"/>
          <w:sz w:val="18"/>
          <w:szCs w:val="18"/>
          <w:lang w:val="es-CO"/>
        </w:rPr>
        <w:t>Art. 182A num. 1 de la Ley 1437 de 2011, adicionado por la Ley 2080 de 2021, art. 42</w:t>
      </w:r>
    </w:p>
  </w:footnote>
  <w:footnote w:id="2">
    <w:p w14:paraId="6390E8FA" w14:textId="77777777" w:rsidR="00AA3576" w:rsidRPr="002B17D7" w:rsidRDefault="00AA3576" w:rsidP="00AA3576">
      <w:pPr>
        <w:pStyle w:val="Textonotapie"/>
        <w:rPr>
          <w:rFonts w:asciiTheme="minorHAnsi" w:hAnsiTheme="minorHAnsi" w:cstheme="minorHAnsi"/>
          <w:sz w:val="18"/>
          <w:szCs w:val="18"/>
          <w:lang w:val="es-CO"/>
        </w:rPr>
      </w:pPr>
      <w:r w:rsidRPr="002B17D7">
        <w:rPr>
          <w:rStyle w:val="Refdenotaalpie"/>
          <w:rFonts w:asciiTheme="minorHAnsi" w:hAnsiTheme="minorHAnsi" w:cstheme="minorHAnsi"/>
          <w:sz w:val="18"/>
          <w:szCs w:val="18"/>
        </w:rPr>
        <w:footnoteRef/>
      </w:r>
      <w:r w:rsidRPr="002B17D7">
        <w:rPr>
          <w:rFonts w:asciiTheme="minorHAnsi" w:hAnsiTheme="minorHAnsi" w:cstheme="minorHAnsi"/>
          <w:sz w:val="18"/>
          <w:szCs w:val="18"/>
        </w:rPr>
        <w:t xml:space="preserve"> </w:t>
      </w:r>
      <w:r w:rsidRPr="002B17D7">
        <w:rPr>
          <w:rFonts w:asciiTheme="minorHAnsi" w:hAnsiTheme="minorHAnsi" w:cstheme="minorHAnsi"/>
          <w:sz w:val="18"/>
          <w:szCs w:val="18"/>
          <w:lang w:val="es-CO"/>
        </w:rPr>
        <w:t xml:space="preserve">Art. 182 A Ley 1437 de 2011, adicionado por la Ley 2080 de 2021, art. 42 </w:t>
      </w:r>
    </w:p>
    <w:p w14:paraId="4946A64C" w14:textId="77777777" w:rsidR="00AA3576" w:rsidRPr="00B72999" w:rsidRDefault="00AA3576" w:rsidP="00AA3576">
      <w:pPr>
        <w:pStyle w:val="Textonotapie"/>
        <w:rPr>
          <w:rFonts w:asciiTheme="minorHAnsi" w:hAnsiTheme="minorHAnsi" w:cstheme="minorHAnsi"/>
          <w:sz w:val="18"/>
          <w:szCs w:val="18"/>
          <w:lang w:val="es-CO"/>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F105D"/>
    <w:rsid w:val="001177A0"/>
    <w:rsid w:val="00127C6E"/>
    <w:rsid w:val="00193E7D"/>
    <w:rsid w:val="00195C31"/>
    <w:rsid w:val="001C54E3"/>
    <w:rsid w:val="001F2D25"/>
    <w:rsid w:val="00222B39"/>
    <w:rsid w:val="00222D4A"/>
    <w:rsid w:val="0023682D"/>
    <w:rsid w:val="00245C3E"/>
    <w:rsid w:val="002971BC"/>
    <w:rsid w:val="002B011F"/>
    <w:rsid w:val="002E526E"/>
    <w:rsid w:val="002F6A16"/>
    <w:rsid w:val="002F7D1D"/>
    <w:rsid w:val="0030316A"/>
    <w:rsid w:val="00306339"/>
    <w:rsid w:val="0032121B"/>
    <w:rsid w:val="00341FFF"/>
    <w:rsid w:val="003A0FA3"/>
    <w:rsid w:val="003B379B"/>
    <w:rsid w:val="003D23A0"/>
    <w:rsid w:val="00406C0C"/>
    <w:rsid w:val="00407892"/>
    <w:rsid w:val="004430DA"/>
    <w:rsid w:val="00462075"/>
    <w:rsid w:val="004C0A4D"/>
    <w:rsid w:val="004C270A"/>
    <w:rsid w:val="004D61DC"/>
    <w:rsid w:val="0050749F"/>
    <w:rsid w:val="00532C33"/>
    <w:rsid w:val="005641D1"/>
    <w:rsid w:val="00565605"/>
    <w:rsid w:val="00591BD3"/>
    <w:rsid w:val="005B3ECD"/>
    <w:rsid w:val="005B55B8"/>
    <w:rsid w:val="005C690E"/>
    <w:rsid w:val="005D343D"/>
    <w:rsid w:val="00606552"/>
    <w:rsid w:val="0064235C"/>
    <w:rsid w:val="00662727"/>
    <w:rsid w:val="00667182"/>
    <w:rsid w:val="00686512"/>
    <w:rsid w:val="00690F71"/>
    <w:rsid w:val="006E320B"/>
    <w:rsid w:val="00764314"/>
    <w:rsid w:val="007D59E3"/>
    <w:rsid w:val="00823B31"/>
    <w:rsid w:val="00857522"/>
    <w:rsid w:val="008922F0"/>
    <w:rsid w:val="009008A0"/>
    <w:rsid w:val="00920156"/>
    <w:rsid w:val="00926ADA"/>
    <w:rsid w:val="00932F5E"/>
    <w:rsid w:val="00965363"/>
    <w:rsid w:val="0096597C"/>
    <w:rsid w:val="0099588B"/>
    <w:rsid w:val="009E3199"/>
    <w:rsid w:val="00A461DF"/>
    <w:rsid w:val="00A62E46"/>
    <w:rsid w:val="00AA3576"/>
    <w:rsid w:val="00AD599F"/>
    <w:rsid w:val="00B1183A"/>
    <w:rsid w:val="00B47DA4"/>
    <w:rsid w:val="00B659E4"/>
    <w:rsid w:val="00B713D2"/>
    <w:rsid w:val="00C43096"/>
    <w:rsid w:val="00C53F95"/>
    <w:rsid w:val="00C5649B"/>
    <w:rsid w:val="00C7495E"/>
    <w:rsid w:val="00CC64F1"/>
    <w:rsid w:val="00CF03D9"/>
    <w:rsid w:val="00CF3BE0"/>
    <w:rsid w:val="00D111DA"/>
    <w:rsid w:val="00D164D7"/>
    <w:rsid w:val="00D54217"/>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13D8F"/>
    <w:rsid w:val="00F4642E"/>
    <w:rsid w:val="00F55B9A"/>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aliases w:val="Footnote Text Cha Car,Footnote Text Char Char Char Car,FA Fußnotentext Car,FA Fuﬂnotentext Car, Car Car,Car Car,ft Car"/>
    <w:basedOn w:val="Fuentedeprrafopredeter"/>
    <w:uiPriority w:val="99"/>
    <w:qFormat/>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 w:type="character" w:styleId="Refdenotaalpie">
    <w:name w:val="footnote reference"/>
    <w:aliases w:val="Ref. de nota al pie 2,Texto de nota al pie,Pie de Página,FC,referencia nota al pie,Appel note de bas de page,Footnotes refss,Footnote number,BVI fnr,f,4_G,16 Point,Superscript 6 Point,Texto nota al pie,Texto de nota al pi,Nota de pie"/>
    <w:basedOn w:val="Fuentedeprrafopredeter"/>
    <w:link w:val="4GChar"/>
    <w:uiPriority w:val="99"/>
    <w:qFormat/>
    <w:rsid w:val="00AA3576"/>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AA3576"/>
    <w:pPr>
      <w:spacing w:after="0" w:line="240" w:lineRule="auto"/>
      <w:jc w:val="both"/>
    </w:pPr>
    <w:rPr>
      <w:rFonts w:eastAsiaTheme="minorHAnsi"/>
      <w:vertAlign w:val="superscript"/>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5</Pages>
  <Words>1350</Words>
  <Characters>7425</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Rosedlin González</cp:lastModifiedBy>
  <cp:revision>29</cp:revision>
  <dcterms:created xsi:type="dcterms:W3CDTF">2021-09-03T04:43:00Z</dcterms:created>
  <dcterms:modified xsi:type="dcterms:W3CDTF">2021-09-05T18:14:00Z</dcterms:modified>
</cp:coreProperties>
</file>