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E7D5F0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4627D7">
        <w:rPr>
          <w:rFonts w:ascii="Arial" w:eastAsia="Calibri" w:hAnsi="Arial" w:cs="Arial"/>
          <w:lang w:val="es-MX"/>
        </w:rPr>
        <w:t xml:space="preserve"> Natalia Restrepo Gómez</w:t>
      </w:r>
    </w:p>
    <w:p w14:paraId="5F7DBDD4" w14:textId="52E449FC"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4627D7">
        <w:rPr>
          <w:rFonts w:ascii="Arial" w:hAnsi="Arial" w:cs="Arial"/>
          <w:lang w:val="es-MX"/>
        </w:rPr>
        <w:t>31 de agosto de 2021</w:t>
      </w:r>
      <w:r w:rsidRPr="001F2D25">
        <w:rPr>
          <w:rFonts w:ascii="Arial" w:hAnsi="Arial" w:cs="Arial"/>
          <w:lang w:val="es-MX"/>
        </w:rPr>
        <w:t xml:space="preserve">  </w:t>
      </w:r>
    </w:p>
    <w:p w14:paraId="75E84AC6" w14:textId="3ABF5B01"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9A31BA">
        <w:rPr>
          <w:rFonts w:ascii="Arial" w:hAnsi="Arial" w:cs="Arial"/>
          <w:lang w:val="es-MX"/>
        </w:rPr>
        <w:t>17001-33-33-000</w:t>
      </w:r>
      <w:r w:rsidR="009A31BA" w:rsidRPr="009A31BA">
        <w:rPr>
          <w:rFonts w:ascii="Arial" w:hAnsi="Arial" w:cs="Arial"/>
          <w:lang w:val="es-MX"/>
        </w:rPr>
        <w:t>-2019-00181-00</w:t>
      </w:r>
    </w:p>
    <w:p w14:paraId="6B89892F" w14:textId="1DC39A9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9A31BA">
        <w:rPr>
          <w:rFonts w:ascii="Arial" w:hAnsi="Arial" w:cs="Arial"/>
          <w:lang w:val="es-MX"/>
        </w:rPr>
        <w:t xml:space="preserve"> </w:t>
      </w:r>
      <w:r w:rsidR="009A31BA" w:rsidRPr="009A31BA">
        <w:rPr>
          <w:rFonts w:ascii="Arial" w:hAnsi="Arial" w:cs="Arial"/>
          <w:lang w:val="es-MX"/>
        </w:rPr>
        <w:t>Pedro José Castillo Castaño</w:t>
      </w:r>
    </w:p>
    <w:p w14:paraId="1660C8A3" w14:textId="6575674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9A31BA">
        <w:rPr>
          <w:rFonts w:ascii="Arial" w:hAnsi="Arial" w:cs="Arial"/>
          <w:lang w:val="es-MX"/>
        </w:rPr>
        <w:t xml:space="preserve"> Municipio d</w:t>
      </w:r>
      <w:r w:rsidR="009A31BA" w:rsidRPr="009A31BA">
        <w:rPr>
          <w:rFonts w:ascii="Arial" w:hAnsi="Arial" w:cs="Arial"/>
          <w:lang w:val="es-MX"/>
        </w:rPr>
        <w:t>e Manizales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640720CC" w14:textId="77777777" w:rsidR="009A31BA" w:rsidRDefault="009A31BA" w:rsidP="009A31BA">
            <w:pPr>
              <w:pStyle w:val="Sinespaciado"/>
              <w:jc w:val="both"/>
              <w:rPr>
                <w:rFonts w:ascii="Arial" w:eastAsia="Calibri" w:hAnsi="Arial" w:cs="Arial"/>
                <w:b/>
                <w:lang w:val="es-MX"/>
              </w:rPr>
            </w:pPr>
          </w:p>
          <w:p w14:paraId="00821971" w14:textId="1A16A3AC" w:rsidR="009A31BA" w:rsidRPr="009A31BA" w:rsidRDefault="009A31BA" w:rsidP="009A31BA">
            <w:pPr>
              <w:pStyle w:val="Sinespaciado"/>
              <w:jc w:val="both"/>
              <w:rPr>
                <w:rFonts w:ascii="Arial" w:eastAsia="Calibri" w:hAnsi="Arial" w:cs="Arial"/>
                <w:b/>
                <w:sz w:val="72"/>
                <w:lang w:val="es-MX"/>
              </w:rPr>
            </w:pPr>
            <w:r>
              <w:rPr>
                <w:rFonts w:ascii="Arial" w:eastAsia="Calibri" w:hAnsi="Arial" w:cs="Arial"/>
                <w:b/>
                <w:sz w:val="72"/>
                <w:lang w:val="es-MX"/>
              </w:rPr>
              <w:t>x</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Default="00ED4ECD" w:rsidP="00ED4ECD">
      <w:pPr>
        <w:rPr>
          <w:rFonts w:ascii="Arial" w:hAnsi="Arial" w:cs="Arial"/>
        </w:rPr>
      </w:pPr>
    </w:p>
    <w:p w14:paraId="09B74753" w14:textId="77777777" w:rsidR="004627D7" w:rsidRDefault="004627D7" w:rsidP="00ED4ECD">
      <w:pPr>
        <w:rPr>
          <w:rFonts w:ascii="Arial" w:hAnsi="Arial" w:cs="Arial"/>
        </w:rPr>
      </w:pPr>
    </w:p>
    <w:p w14:paraId="5737F7D8" w14:textId="77777777" w:rsidR="004627D7" w:rsidRDefault="004627D7" w:rsidP="00ED4ECD">
      <w:pPr>
        <w:rPr>
          <w:rFonts w:ascii="Arial" w:hAnsi="Arial" w:cs="Arial"/>
        </w:rPr>
      </w:pPr>
    </w:p>
    <w:p w14:paraId="3CA89E0B" w14:textId="00FEBF5A" w:rsidR="004627D7" w:rsidRPr="00D55CA4" w:rsidRDefault="004627D7" w:rsidP="004627D7">
      <w:pPr>
        <w:jc w:val="center"/>
        <w:rPr>
          <w:rFonts w:ascii="Palatino Linotype" w:hAnsi="Palatino Linotype" w:cs="Arial"/>
          <w:b/>
          <w:sz w:val="24"/>
          <w:szCs w:val="24"/>
        </w:rPr>
      </w:pPr>
      <w:r w:rsidRPr="00D55CA4">
        <w:rPr>
          <w:rFonts w:ascii="Palatino Linotype" w:hAnsi="Palatino Linotype" w:cs="Arial"/>
          <w:b/>
          <w:sz w:val="24"/>
          <w:szCs w:val="24"/>
        </w:rPr>
        <w:lastRenderedPageBreak/>
        <w:t xml:space="preserve">JUZGADO ADMINISTRATIVO DEL CIRCUITO </w:t>
      </w:r>
    </w:p>
    <w:p w14:paraId="2BC3CED5" w14:textId="77777777" w:rsidR="004627D7" w:rsidRPr="00D55CA4" w:rsidRDefault="004627D7" w:rsidP="004627D7">
      <w:pPr>
        <w:jc w:val="center"/>
        <w:rPr>
          <w:rFonts w:ascii="Palatino Linotype" w:hAnsi="Palatino Linotype" w:cs="Arial"/>
          <w:b/>
          <w:sz w:val="24"/>
          <w:szCs w:val="24"/>
        </w:rPr>
      </w:pPr>
    </w:p>
    <w:p w14:paraId="3D8C0377" w14:textId="5645B6D7" w:rsidR="004627D7" w:rsidRPr="00D55CA4" w:rsidRDefault="004627D7" w:rsidP="009A31BA">
      <w:pPr>
        <w:jc w:val="center"/>
        <w:rPr>
          <w:rFonts w:ascii="Palatino Linotype" w:hAnsi="Palatino Linotype" w:cs="Arial"/>
          <w:sz w:val="24"/>
          <w:szCs w:val="24"/>
        </w:rPr>
      </w:pPr>
      <w:r w:rsidRPr="00D55CA4">
        <w:rPr>
          <w:rFonts w:ascii="Palatino Linotype" w:hAnsi="Palatino Linotype" w:cs="Arial"/>
          <w:sz w:val="24"/>
          <w:szCs w:val="24"/>
        </w:rPr>
        <w:t xml:space="preserve">Manizales, </w:t>
      </w:r>
      <w:r w:rsidR="009A31BA">
        <w:rPr>
          <w:rFonts w:ascii="Palatino Linotype" w:hAnsi="Palatino Linotype" w:cs="Arial"/>
          <w:sz w:val="24"/>
          <w:szCs w:val="24"/>
        </w:rPr>
        <w:t>treinta y uno</w:t>
      </w:r>
      <w:r w:rsidRPr="00D55CA4">
        <w:rPr>
          <w:rFonts w:ascii="Palatino Linotype" w:hAnsi="Palatino Linotype" w:cs="Arial"/>
          <w:sz w:val="24"/>
          <w:szCs w:val="24"/>
        </w:rPr>
        <w:t xml:space="preserve"> (</w:t>
      </w:r>
      <w:r w:rsidR="009A31BA">
        <w:rPr>
          <w:rFonts w:ascii="Palatino Linotype" w:hAnsi="Palatino Linotype" w:cs="Arial"/>
          <w:sz w:val="24"/>
          <w:szCs w:val="24"/>
        </w:rPr>
        <w:t>31</w:t>
      </w:r>
      <w:r w:rsidRPr="00D55CA4">
        <w:rPr>
          <w:rFonts w:ascii="Palatino Linotype" w:hAnsi="Palatino Linotype" w:cs="Arial"/>
          <w:sz w:val="24"/>
          <w:szCs w:val="24"/>
        </w:rPr>
        <w:t xml:space="preserve">) de </w:t>
      </w:r>
      <w:r w:rsidR="009A31BA">
        <w:rPr>
          <w:rFonts w:ascii="Palatino Linotype" w:hAnsi="Palatino Linotype" w:cs="Arial"/>
          <w:sz w:val="24"/>
          <w:szCs w:val="24"/>
        </w:rPr>
        <w:t>agosto</w:t>
      </w:r>
      <w:r w:rsidRPr="00D55CA4">
        <w:rPr>
          <w:rFonts w:ascii="Palatino Linotype" w:hAnsi="Palatino Linotype" w:cs="Arial"/>
          <w:sz w:val="24"/>
          <w:szCs w:val="24"/>
        </w:rPr>
        <w:t xml:space="preserve"> de dos mil veintiuno (2021)</w:t>
      </w:r>
    </w:p>
    <w:p w14:paraId="3F6DBA88" w14:textId="0651FECB" w:rsidR="004627D7" w:rsidRPr="00D55CA4" w:rsidRDefault="004627D7" w:rsidP="004627D7">
      <w:pPr>
        <w:jc w:val="right"/>
        <w:rPr>
          <w:rFonts w:ascii="Palatino Linotype" w:hAnsi="Palatino Linotype" w:cs="Arial"/>
          <w:b/>
          <w:bCs/>
          <w:sz w:val="24"/>
          <w:szCs w:val="24"/>
        </w:rPr>
      </w:pPr>
      <w:r w:rsidRPr="00D55CA4">
        <w:rPr>
          <w:rFonts w:ascii="Palatino Linotype" w:hAnsi="Palatino Linotype" w:cs="Arial"/>
          <w:b/>
          <w:bCs/>
          <w:sz w:val="24"/>
          <w:szCs w:val="24"/>
        </w:rPr>
        <w:t xml:space="preserve">     A.I. </w:t>
      </w:r>
      <w:r w:rsidR="009A31BA">
        <w:rPr>
          <w:rFonts w:ascii="Palatino Linotype" w:hAnsi="Palatino Linotype" w:cs="Arial"/>
          <w:b/>
          <w:bCs/>
          <w:sz w:val="24"/>
          <w:szCs w:val="24"/>
        </w:rPr>
        <w:t>001</w:t>
      </w:r>
      <w:r w:rsidRPr="00D55CA4">
        <w:rPr>
          <w:rFonts w:ascii="Palatino Linotype" w:hAnsi="Palatino Linotype" w:cs="Arial"/>
          <w:sz w:val="24"/>
          <w:szCs w:val="24"/>
        </w:rPr>
        <w:t xml:space="preserve">                                                                     </w:t>
      </w:r>
      <w:r w:rsidRPr="00D55CA4">
        <w:rPr>
          <w:rFonts w:ascii="Palatino Linotype" w:hAnsi="Palatino Linotype" w:cs="Arial"/>
          <w:b/>
          <w:bCs/>
          <w:sz w:val="24"/>
          <w:szCs w:val="24"/>
        </w:rPr>
        <w:t xml:space="preserve">             </w:t>
      </w:r>
    </w:p>
    <w:p w14:paraId="6F99C620" w14:textId="77777777" w:rsidR="004627D7" w:rsidRPr="00D55CA4" w:rsidRDefault="004627D7" w:rsidP="004627D7">
      <w:pPr>
        <w:jc w:val="both"/>
        <w:rPr>
          <w:rFonts w:ascii="Palatino Linotype" w:hAnsi="Palatino Linotype" w:cs="Arial"/>
          <w:sz w:val="24"/>
          <w:szCs w:val="24"/>
        </w:rPr>
      </w:pPr>
    </w:p>
    <w:p w14:paraId="7952A7D7" w14:textId="77777777" w:rsidR="004627D7" w:rsidRPr="00D55CA4" w:rsidRDefault="004627D7" w:rsidP="004627D7">
      <w:pPr>
        <w:ind w:left="4248" w:hanging="4248"/>
        <w:jc w:val="both"/>
        <w:rPr>
          <w:rFonts w:ascii="Palatino Linotype" w:hAnsi="Palatino Linotype" w:cs="Arial"/>
          <w:b/>
          <w:sz w:val="24"/>
          <w:szCs w:val="24"/>
        </w:rPr>
      </w:pPr>
      <w:r w:rsidRPr="00D55CA4">
        <w:rPr>
          <w:rFonts w:ascii="Palatino Linotype" w:hAnsi="Palatino Linotype" w:cs="Arial"/>
          <w:b/>
          <w:sz w:val="24"/>
          <w:szCs w:val="24"/>
        </w:rPr>
        <w:t xml:space="preserve">MEDIO DE CONTROL: </w:t>
      </w:r>
      <w:r w:rsidRPr="00D55CA4">
        <w:rPr>
          <w:rFonts w:ascii="Palatino Linotype" w:hAnsi="Palatino Linotype" w:cs="Arial"/>
          <w:b/>
          <w:sz w:val="24"/>
          <w:szCs w:val="24"/>
        </w:rPr>
        <w:tab/>
        <w:t>NULIDAD Y RESTABLECIMIENTO DEL DERECHO</w:t>
      </w:r>
    </w:p>
    <w:p w14:paraId="72FDEACC" w14:textId="77777777" w:rsidR="004627D7" w:rsidRPr="00D55CA4" w:rsidRDefault="004627D7" w:rsidP="004627D7">
      <w:pPr>
        <w:ind w:left="4248" w:hanging="4248"/>
        <w:jc w:val="both"/>
        <w:rPr>
          <w:rFonts w:ascii="Palatino Linotype" w:hAnsi="Palatino Linotype" w:cs="Arial"/>
          <w:b/>
          <w:sz w:val="24"/>
          <w:szCs w:val="24"/>
        </w:rPr>
      </w:pPr>
      <w:r w:rsidRPr="00D55CA4">
        <w:rPr>
          <w:rFonts w:ascii="Palatino Linotype" w:hAnsi="Palatino Linotype" w:cs="Arial"/>
          <w:b/>
          <w:sz w:val="24"/>
          <w:szCs w:val="24"/>
        </w:rPr>
        <w:t>DEMANDANTE:</w:t>
      </w:r>
      <w:r w:rsidRPr="00D55CA4">
        <w:rPr>
          <w:rFonts w:ascii="Palatino Linotype" w:hAnsi="Palatino Linotype" w:cs="Arial"/>
          <w:b/>
          <w:sz w:val="24"/>
          <w:szCs w:val="24"/>
        </w:rPr>
        <w:tab/>
      </w:r>
      <w:r w:rsidRPr="00AA601C">
        <w:rPr>
          <w:rFonts w:ascii="Palatino Linotype" w:hAnsi="Palatino Linotype" w:cs="Arial"/>
          <w:b/>
          <w:sz w:val="24"/>
          <w:szCs w:val="24"/>
        </w:rPr>
        <w:t>PEDRO JOSÉ CASTILLO CASTAÑO</w:t>
      </w:r>
    </w:p>
    <w:p w14:paraId="12259284" w14:textId="77777777" w:rsidR="004627D7" w:rsidRPr="00D55CA4" w:rsidRDefault="004627D7" w:rsidP="004627D7">
      <w:pPr>
        <w:ind w:left="4245" w:hanging="4245"/>
        <w:jc w:val="both"/>
        <w:rPr>
          <w:rFonts w:ascii="Palatino Linotype" w:hAnsi="Palatino Linotype" w:cs="Arial"/>
          <w:b/>
          <w:sz w:val="24"/>
          <w:szCs w:val="24"/>
        </w:rPr>
      </w:pPr>
      <w:r w:rsidRPr="00D55CA4">
        <w:rPr>
          <w:rFonts w:ascii="Palatino Linotype" w:hAnsi="Palatino Linotype" w:cs="Arial"/>
          <w:b/>
          <w:sz w:val="24"/>
          <w:szCs w:val="24"/>
        </w:rPr>
        <w:t>DEMANDADO:</w:t>
      </w:r>
      <w:r w:rsidRPr="00D55CA4">
        <w:rPr>
          <w:rFonts w:ascii="Palatino Linotype" w:hAnsi="Palatino Linotype" w:cs="Arial"/>
          <w:b/>
          <w:sz w:val="24"/>
          <w:szCs w:val="24"/>
        </w:rPr>
        <w:tab/>
        <w:t>MUNICIPIO DE MANIZALES</w:t>
      </w:r>
    </w:p>
    <w:p w14:paraId="467295EA" w14:textId="60123AF5" w:rsidR="004627D7" w:rsidRPr="00D55CA4" w:rsidRDefault="004627D7" w:rsidP="004627D7">
      <w:pPr>
        <w:ind w:left="4248" w:hanging="4248"/>
        <w:jc w:val="both"/>
        <w:rPr>
          <w:rFonts w:ascii="Palatino Linotype" w:hAnsi="Palatino Linotype" w:cs="Arial"/>
          <w:b/>
          <w:sz w:val="24"/>
          <w:szCs w:val="24"/>
        </w:rPr>
      </w:pPr>
      <w:r w:rsidRPr="00D55CA4">
        <w:rPr>
          <w:rFonts w:ascii="Palatino Linotype" w:hAnsi="Palatino Linotype" w:cs="Arial"/>
          <w:b/>
          <w:sz w:val="24"/>
          <w:szCs w:val="24"/>
        </w:rPr>
        <w:t>RADICADO:</w:t>
      </w:r>
      <w:r w:rsidRPr="00D55CA4">
        <w:rPr>
          <w:rFonts w:ascii="Palatino Linotype" w:hAnsi="Palatino Linotype" w:cs="Arial"/>
          <w:b/>
          <w:sz w:val="24"/>
          <w:szCs w:val="24"/>
        </w:rPr>
        <w:tab/>
      </w:r>
      <w:r w:rsidR="009A31BA">
        <w:rPr>
          <w:rFonts w:ascii="Palatino Linotype" w:hAnsi="Palatino Linotype" w:cs="Arial"/>
          <w:b/>
          <w:sz w:val="24"/>
          <w:szCs w:val="24"/>
        </w:rPr>
        <w:t>17001-33-33-000</w:t>
      </w:r>
      <w:r w:rsidRPr="00D55CA4">
        <w:rPr>
          <w:rFonts w:ascii="Palatino Linotype" w:hAnsi="Palatino Linotype" w:cs="Arial"/>
          <w:b/>
          <w:sz w:val="24"/>
          <w:szCs w:val="24"/>
        </w:rPr>
        <w:t>-2019-00181-00</w:t>
      </w:r>
    </w:p>
    <w:p w14:paraId="29D68630" w14:textId="77777777" w:rsidR="004627D7" w:rsidRPr="005B14CF" w:rsidRDefault="004627D7" w:rsidP="004627D7">
      <w:pPr>
        <w:jc w:val="both"/>
        <w:rPr>
          <w:rFonts w:ascii="Palatino Linotype" w:hAnsi="Palatino Linotype" w:cs="Arial"/>
          <w:sz w:val="24"/>
          <w:szCs w:val="24"/>
        </w:rPr>
      </w:pPr>
    </w:p>
    <w:p w14:paraId="1E7B94AF" w14:textId="366CAD1C" w:rsidR="004627D7" w:rsidRDefault="004627D7" w:rsidP="004627D7">
      <w:pPr>
        <w:tabs>
          <w:tab w:val="left" w:pos="-720"/>
        </w:tabs>
        <w:suppressAutoHyphens/>
        <w:jc w:val="both"/>
        <w:rPr>
          <w:rFonts w:ascii="Palatino Linotype" w:hAnsi="Palatino Linotype" w:cs="Arial"/>
          <w:sz w:val="24"/>
          <w:szCs w:val="24"/>
        </w:rPr>
      </w:pPr>
      <w:r w:rsidRPr="00D55CA4">
        <w:rPr>
          <w:rFonts w:ascii="Palatino Linotype" w:hAnsi="Palatino Linotype" w:cs="Arial"/>
          <w:sz w:val="24"/>
          <w:szCs w:val="24"/>
        </w:rPr>
        <w:t xml:space="preserve">De conformidad con lo establecido en el </w:t>
      </w:r>
      <w:r>
        <w:rPr>
          <w:rFonts w:ascii="Palatino Linotype" w:hAnsi="Palatino Linotype" w:cs="Arial"/>
          <w:sz w:val="24"/>
          <w:szCs w:val="24"/>
        </w:rPr>
        <w:t xml:space="preserve">numeral 3º del artículo </w:t>
      </w:r>
      <w:proofErr w:type="spellStart"/>
      <w:r>
        <w:rPr>
          <w:rFonts w:ascii="Palatino Linotype" w:hAnsi="Palatino Linotype" w:cs="Arial"/>
          <w:sz w:val="24"/>
          <w:szCs w:val="24"/>
        </w:rPr>
        <w:t>182A</w:t>
      </w:r>
      <w:proofErr w:type="spellEnd"/>
      <w:r>
        <w:rPr>
          <w:rFonts w:ascii="Palatino Linotype" w:hAnsi="Palatino Linotype" w:cs="Arial"/>
          <w:sz w:val="24"/>
          <w:szCs w:val="24"/>
        </w:rPr>
        <w:t xml:space="preserve"> de la Ley 1437 de 2011, adicionado por el </w:t>
      </w:r>
      <w:r w:rsidRPr="00D55CA4">
        <w:rPr>
          <w:rFonts w:ascii="Palatino Linotype" w:hAnsi="Palatino Linotype" w:cs="Arial"/>
          <w:sz w:val="24"/>
          <w:szCs w:val="24"/>
        </w:rPr>
        <w:t>artículo 42 de la Ley 2080 de 2021</w:t>
      </w:r>
      <w:r>
        <w:rPr>
          <w:rFonts w:ascii="Palatino Linotype" w:hAnsi="Palatino Linotype" w:cs="Arial"/>
          <w:sz w:val="24"/>
          <w:szCs w:val="24"/>
        </w:rPr>
        <w:t>, el Juzgado procederá a dictar sentencia anticipada en el proceso de la referencia, en la que se pronunciará sobre la excepción de prescripción extintiva.</w:t>
      </w:r>
    </w:p>
    <w:p w14:paraId="4EFAAC83" w14:textId="579D8197" w:rsidR="004627D7" w:rsidRPr="00D55CA4" w:rsidRDefault="004627D7" w:rsidP="009A31BA">
      <w:pPr>
        <w:tabs>
          <w:tab w:val="left" w:pos="-720"/>
        </w:tabs>
        <w:suppressAutoHyphens/>
        <w:jc w:val="both"/>
        <w:rPr>
          <w:rFonts w:ascii="Palatino Linotype" w:hAnsi="Palatino Linotype" w:cs="Arial"/>
          <w:sz w:val="24"/>
          <w:szCs w:val="24"/>
        </w:rPr>
      </w:pPr>
      <w:r>
        <w:rPr>
          <w:rFonts w:ascii="Palatino Linotype" w:hAnsi="Palatino Linotype" w:cs="Arial"/>
          <w:sz w:val="24"/>
          <w:szCs w:val="24"/>
        </w:rPr>
        <w:t>Así pues, en concordancia con el parágrafo de esa misma disposición</w:t>
      </w:r>
      <w:r w:rsidRPr="00D55CA4">
        <w:rPr>
          <w:rFonts w:ascii="Palatino Linotype" w:hAnsi="Palatino Linotype" w:cs="Arial"/>
          <w:sz w:val="24"/>
          <w:szCs w:val="24"/>
        </w:rPr>
        <w:t xml:space="preserve">, se corre traslado a las partes y al Ministerio Público para alegar de conclusión y presentar concepto, respectivamente, por el término común de diez (10) días. </w:t>
      </w:r>
      <w:bookmarkStart w:id="0" w:name="_GoBack"/>
      <w:bookmarkEnd w:id="0"/>
    </w:p>
    <w:p w14:paraId="01B8FA21" w14:textId="77777777" w:rsidR="004627D7" w:rsidRPr="00D55CA4" w:rsidRDefault="004627D7" w:rsidP="004627D7">
      <w:pPr>
        <w:tabs>
          <w:tab w:val="left" w:pos="-720"/>
        </w:tabs>
        <w:suppressAutoHyphens/>
        <w:jc w:val="both"/>
        <w:rPr>
          <w:rFonts w:ascii="Palatino Linotype" w:eastAsia="MS Mincho" w:hAnsi="Palatino Linotype" w:cs="Arial"/>
          <w:spacing w:val="-3"/>
          <w:sz w:val="24"/>
          <w:szCs w:val="24"/>
        </w:rPr>
      </w:pPr>
    </w:p>
    <w:p w14:paraId="306083FA" w14:textId="77777777" w:rsidR="004627D7" w:rsidRPr="00D55CA4" w:rsidRDefault="004627D7" w:rsidP="004627D7">
      <w:pPr>
        <w:pStyle w:val="Ttulo4"/>
        <w:spacing w:before="0"/>
        <w:jc w:val="center"/>
        <w:rPr>
          <w:rFonts w:ascii="Palatino Linotype" w:hAnsi="Palatino Linotype" w:cs="Arial"/>
          <w:i w:val="0"/>
          <w:color w:val="auto"/>
          <w:sz w:val="24"/>
          <w:szCs w:val="24"/>
        </w:rPr>
      </w:pPr>
      <w:r w:rsidRPr="00D55CA4">
        <w:rPr>
          <w:rFonts w:ascii="Palatino Linotype" w:hAnsi="Palatino Linotype" w:cs="Arial"/>
          <w:i w:val="0"/>
          <w:color w:val="auto"/>
          <w:sz w:val="24"/>
          <w:szCs w:val="24"/>
        </w:rPr>
        <w:t>NOTIFÍQUESE Y CÚMPLASE</w:t>
      </w:r>
    </w:p>
    <w:p w14:paraId="3DB750EE" w14:textId="77777777" w:rsidR="004627D7" w:rsidRPr="001F2D25" w:rsidRDefault="004627D7"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E6CB1" w14:textId="77777777" w:rsidR="005F4F32" w:rsidRDefault="005F4F32">
      <w:pPr>
        <w:spacing w:after="0" w:line="240" w:lineRule="auto"/>
      </w:pPr>
      <w:r>
        <w:separator/>
      </w:r>
    </w:p>
  </w:endnote>
  <w:endnote w:type="continuationSeparator" w:id="0">
    <w:p w14:paraId="2976E4E1" w14:textId="77777777" w:rsidR="005F4F32" w:rsidRDefault="005F4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9A31BA" w:rsidRPr="009A31BA">
          <w:rPr>
            <w:noProof/>
            <w:lang w:val="es-ES"/>
          </w:rPr>
          <w:t>4</w:t>
        </w:r>
        <w:r>
          <w:fldChar w:fldCharType="end"/>
        </w:r>
      </w:p>
    </w:sdtContent>
  </w:sdt>
  <w:p w14:paraId="2521E8EB" w14:textId="77777777" w:rsidR="00224C42" w:rsidRDefault="005F4F3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9A31BA" w:rsidRPr="009A31BA">
          <w:rPr>
            <w:noProof/>
            <w:lang w:val="es-ES"/>
          </w:rPr>
          <w:t>1</w:t>
        </w:r>
        <w:r>
          <w:fldChar w:fldCharType="end"/>
        </w:r>
      </w:p>
    </w:sdtContent>
  </w:sdt>
  <w:p w14:paraId="60134C65" w14:textId="77777777" w:rsidR="00224C42" w:rsidRDefault="005F4F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BAB9D" w14:textId="77777777" w:rsidR="005F4F32" w:rsidRDefault="005F4F32">
      <w:pPr>
        <w:spacing w:after="0" w:line="240" w:lineRule="auto"/>
      </w:pPr>
      <w:r>
        <w:separator/>
      </w:r>
    </w:p>
  </w:footnote>
  <w:footnote w:type="continuationSeparator" w:id="0">
    <w:p w14:paraId="02D21D46" w14:textId="77777777" w:rsidR="005F4F32" w:rsidRDefault="005F4F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627D7"/>
    <w:rsid w:val="004C270A"/>
    <w:rsid w:val="00532C33"/>
    <w:rsid w:val="00565605"/>
    <w:rsid w:val="00591BD3"/>
    <w:rsid w:val="005B3ECD"/>
    <w:rsid w:val="005C690E"/>
    <w:rsid w:val="005D343D"/>
    <w:rsid w:val="005F4F32"/>
    <w:rsid w:val="006E320B"/>
    <w:rsid w:val="00764314"/>
    <w:rsid w:val="007D59E3"/>
    <w:rsid w:val="00823B31"/>
    <w:rsid w:val="00857522"/>
    <w:rsid w:val="00926ADA"/>
    <w:rsid w:val="00965363"/>
    <w:rsid w:val="0096597C"/>
    <w:rsid w:val="009A31BA"/>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paragraph" w:styleId="Ttulo4">
    <w:name w:val="heading 4"/>
    <w:basedOn w:val="Normal"/>
    <w:next w:val="Normal"/>
    <w:link w:val="Ttulo4Car"/>
    <w:uiPriority w:val="9"/>
    <w:unhideWhenUsed/>
    <w:qFormat/>
    <w:rsid w:val="004627D7"/>
    <w:pPr>
      <w:keepNext/>
      <w:keepLines/>
      <w:spacing w:before="200" w:after="0" w:line="240" w:lineRule="auto"/>
      <w:outlineLvl w:val="3"/>
    </w:pPr>
    <w:rPr>
      <w:rFonts w:asciiTheme="majorHAnsi" w:eastAsiaTheme="majorEastAsia" w:hAnsiTheme="majorHAnsi" w:cstheme="majorBidi"/>
      <w:b/>
      <w:bCs/>
      <w:i/>
      <w:iCs/>
      <w:color w:val="5B9BD5" w:themeColor="accent1"/>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customStyle="1" w:styleId="Ttulo4Car">
    <w:name w:val="Título 4 Car"/>
    <w:basedOn w:val="Fuentedeprrafopredeter"/>
    <w:link w:val="Ttulo4"/>
    <w:uiPriority w:val="9"/>
    <w:rsid w:val="004627D7"/>
    <w:rPr>
      <w:rFonts w:asciiTheme="majorHAnsi" w:eastAsiaTheme="majorEastAsia" w:hAnsiTheme="majorHAnsi" w:cstheme="majorBidi"/>
      <w:b/>
      <w:bCs/>
      <w:i/>
      <w:iCs/>
      <w:color w:val="5B9BD5" w:themeColor="accent1"/>
      <w:sz w:val="20"/>
      <w:szCs w:val="20"/>
      <w:lang w:val="es-ES" w:eastAsia="es-CO"/>
    </w:rPr>
  </w:style>
  <w:style w:type="character" w:styleId="Hipervnculo">
    <w:name w:val="Hyperlink"/>
    <w:basedOn w:val="Fuentedeprrafopredeter"/>
    <w:uiPriority w:val="99"/>
    <w:unhideWhenUsed/>
    <w:rsid w:val="004627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A6015-D1D3-4AC6-95FE-7D6EF081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1051</Words>
  <Characters>5783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 de Windows</cp:lastModifiedBy>
  <cp:revision>3</cp:revision>
  <dcterms:created xsi:type="dcterms:W3CDTF">2021-06-24T14:42:00Z</dcterms:created>
  <dcterms:modified xsi:type="dcterms:W3CDTF">2021-09-01T02:06:00Z</dcterms:modified>
</cp:coreProperties>
</file>