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662EAEB"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E523AD">
        <w:rPr>
          <w:rFonts w:ascii="Arial" w:eastAsia="Calibri" w:hAnsi="Arial" w:cs="Arial"/>
          <w:lang w:val="es-MX"/>
        </w:rPr>
        <w:t xml:space="preserve"> Tilatatiana Useche Peñaloza</w:t>
      </w:r>
    </w:p>
    <w:p w14:paraId="5F7DBDD4" w14:textId="15E2C840"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E523AD">
        <w:rPr>
          <w:rFonts w:ascii="Arial" w:hAnsi="Arial" w:cs="Arial"/>
          <w:lang w:val="es-MX"/>
        </w:rPr>
        <w:t>26-08-2021</w:t>
      </w:r>
    </w:p>
    <w:p w14:paraId="75E84AC6" w14:textId="578CA7A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E523AD">
        <w:rPr>
          <w:rFonts w:ascii="Arial" w:hAnsi="Arial" w:cs="Arial"/>
          <w:lang w:val="es-MX"/>
        </w:rPr>
        <w:t>Nulidad y Restablecimiento del Derecho</w:t>
      </w:r>
    </w:p>
    <w:p w14:paraId="6B89892F" w14:textId="5F5E725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E523AD">
        <w:rPr>
          <w:rFonts w:ascii="Arial" w:hAnsi="Arial" w:cs="Arial"/>
          <w:lang w:val="es-MX"/>
        </w:rPr>
        <w:t xml:space="preserve"> Iván Jesús Araujo Liñán</w:t>
      </w:r>
    </w:p>
    <w:p w14:paraId="1660C8A3" w14:textId="46AD2A4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E523AD">
        <w:rPr>
          <w:rFonts w:ascii="Arial" w:hAnsi="Arial" w:cs="Arial"/>
          <w:lang w:val="es-MX"/>
        </w:rPr>
        <w:t xml:space="preserve"> Nación-Rama Judicial-Dirección Ejecutiva de Administración Judicial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57D7C7C2" w:rsidR="00222D4A" w:rsidRPr="000C3A89" w:rsidRDefault="00E523AD" w:rsidP="000C3A89">
            <w:pPr>
              <w:pStyle w:val="Sinespaciado"/>
              <w:jc w:val="both"/>
              <w:rPr>
                <w:rFonts w:ascii="Arial" w:eastAsia="Calibri" w:hAnsi="Arial" w:cs="Arial"/>
                <w:u w:val="single"/>
                <w:lang w:val="es-MX"/>
              </w:rPr>
            </w:pPr>
            <w:r w:rsidRPr="000C3A89">
              <w:rPr>
                <w:rFonts w:ascii="Arial" w:eastAsia="Calibri" w:hAnsi="Arial" w:cs="Arial"/>
                <w:u w:val="single"/>
                <w:lang w:val="es-MX"/>
              </w:rPr>
              <w:t>Se evidencia que efectivamente el traslado de la demanda esta vencido y dentro del mismo la entidad demandada contesto la demanda, proponiendo como Excepción de Merito Nominada la Prescripción de los derechos alegados, la cual se declara No probada en la providencia de fecha 16 de junio de 2021.</w:t>
            </w:r>
          </w:p>
          <w:p w14:paraId="689D743C" w14:textId="77777777" w:rsidR="00E523AD" w:rsidRPr="001F2D25" w:rsidRDefault="00E523AD"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1564D32">
                      <wp:simplePos x="0" y="0"/>
                      <wp:positionH relativeFrom="column">
                        <wp:posOffset>3122929</wp:posOffset>
                      </wp:positionH>
                      <wp:positionV relativeFrom="paragraph">
                        <wp:posOffset>154305</wp:posOffset>
                      </wp:positionV>
                      <wp:extent cx="371475" cy="26670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37147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BA3BF6" w14:textId="407A57E9" w:rsidR="00E523AD" w:rsidRDefault="00E523AD" w:rsidP="00E523A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5.9pt;margin-top:12.15pt;width:29.2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" fillcolor="white [3201]" strokecolor="#70ad47 [3209]" strokeweight="1pt">
                      <v:textbox>
                        <w:txbxContent>
                          <w:p w14:paraId="57BA3BF6" w14:textId="407A57E9" w:rsidR="00E523AD" w:rsidRDefault="00E523AD" w:rsidP="00E523AD">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5D213C1B">
                      <wp:simplePos x="0" y="0"/>
                      <wp:positionH relativeFrom="column">
                        <wp:posOffset>1608455</wp:posOffset>
                      </wp:positionH>
                      <wp:positionV relativeFrom="paragraph">
                        <wp:posOffset>320040</wp:posOffset>
                      </wp:positionV>
                      <wp:extent cx="400050" cy="285750"/>
                      <wp:effectExtent l="0" t="0" r="19050" b="19050"/>
                      <wp:wrapNone/>
                      <wp:docPr id="15" name="Rectángulo 15"/>
                      <wp:cNvGraphicFramePr/>
                      <a:graphic xmlns:a="http://schemas.openxmlformats.org/drawingml/2006/main">
                        <a:graphicData uri="http://schemas.microsoft.com/office/word/2010/wordprocessingShape">
                          <wps:wsp>
                            <wps:cNvSpPr/>
                            <wps:spPr>
                              <a:xfrm>
                                <a:off x="0" y="0"/>
                                <a:ext cx="400050"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E8D2DF" w14:textId="26B11313" w:rsidR="00E523AD" w:rsidRDefault="00E523AD" w:rsidP="00E523A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65pt;margin-top:25.2pt;width:31.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" fillcolor="white [3201]" strokecolor="#70ad47 [3209]" strokeweight="1pt">
                      <v:textbox>
                        <w:txbxContent>
                          <w:p w14:paraId="6BE8D2DF" w14:textId="26B11313" w:rsidR="00E523AD" w:rsidRDefault="00E523AD" w:rsidP="00E523AD">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5F0BCDF8" w:rsidR="00D75A67" w:rsidRDefault="00D75A67" w:rsidP="00D75A67">
            <w:pPr>
              <w:pStyle w:val="Sinespaciado"/>
              <w:jc w:val="both"/>
              <w:rPr>
                <w:rFonts w:ascii="Arial" w:eastAsia="Calibri" w:hAnsi="Arial" w:cs="Arial"/>
                <w:lang w:val="es-MX"/>
              </w:rPr>
            </w:pPr>
          </w:p>
          <w:p w14:paraId="62E98E17" w14:textId="6C0FE3B8" w:rsidR="00E523AD" w:rsidRPr="000C3A89" w:rsidRDefault="00E523AD" w:rsidP="00D75A67">
            <w:pPr>
              <w:pStyle w:val="Sinespaciado"/>
              <w:jc w:val="both"/>
              <w:rPr>
                <w:rFonts w:ascii="Arial" w:eastAsia="Calibri" w:hAnsi="Arial" w:cs="Arial"/>
                <w:u w:val="single"/>
                <w:lang w:val="es-MX"/>
              </w:rPr>
            </w:pPr>
            <w:r w:rsidRPr="000C3A89">
              <w:rPr>
                <w:rFonts w:ascii="Arial" w:eastAsia="Calibri" w:hAnsi="Arial" w:cs="Arial"/>
                <w:u w:val="single"/>
                <w:lang w:val="es-MX"/>
              </w:rPr>
              <w:t>Mediante Providencia de fecha 16 de junio de 2021, el operador judicial indico que en el presente asunto se configuran los presupuestos para dictar sentencia anticipada en los términos del numeral 1 del articulo 182 A del CPACA, ya que es no hay pruebas que practicar y solo tiene como tal las documentales aportadas con la demanda y contestación, por lo que en la misma providencia fijo el litigio y se pronuncio sobre las pruebas obrantes en el proceso.</w:t>
            </w:r>
          </w:p>
          <w:p w14:paraId="60B02D52" w14:textId="77777777" w:rsidR="00E523AD" w:rsidRPr="001F2D25" w:rsidRDefault="00E523AD"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1C88077A"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w:t>
            </w:r>
            <w:proofErr w:type="gramStart"/>
            <w:r w:rsidRPr="001F2D25">
              <w:rPr>
                <w:rFonts w:ascii="Arial" w:eastAsia="Calibri" w:hAnsi="Arial" w:cs="Arial"/>
                <w:lang w:val="es-MX"/>
              </w:rPr>
              <w:t xml:space="preserve">y, </w:t>
            </w:r>
            <w:r w:rsidR="00E523AD">
              <w:rPr>
                <w:rFonts w:ascii="Arial" w:eastAsia="Calibri" w:hAnsi="Arial" w:cs="Arial"/>
                <w:lang w:val="es-MX"/>
              </w:rPr>
              <w:t xml:space="preserve"> (</w:t>
            </w:r>
            <w:proofErr w:type="gramEnd"/>
            <w:r w:rsidR="00E523AD">
              <w:rPr>
                <w:rFonts w:ascii="Arial" w:eastAsia="Calibri" w:hAnsi="Arial" w:cs="Arial"/>
                <w:lang w:val="es-MX"/>
              </w:rPr>
              <w:t xml:space="preserve">X)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1FCBC210" w14:textId="77777777" w:rsidR="00A461DF"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bookmarkStart w:id="0" w:name="_GoBack"/>
            <w:bookmarkEnd w:id="0"/>
          </w:p>
          <w:p w14:paraId="6AE9A005" w14:textId="64B197CE" w:rsidR="00E523AD" w:rsidRPr="000C3A89" w:rsidRDefault="00E523AD" w:rsidP="00A62E46">
            <w:pPr>
              <w:jc w:val="both"/>
              <w:rPr>
                <w:rFonts w:ascii="Arial" w:eastAsia="Calibri" w:hAnsi="Arial" w:cs="Arial"/>
                <w:szCs w:val="18"/>
                <w:u w:val="single"/>
                <w:lang w:val="es-MX"/>
              </w:rPr>
            </w:pPr>
            <w:r w:rsidRPr="000C3A89">
              <w:rPr>
                <w:rFonts w:ascii="Arial" w:eastAsia="Calibri" w:hAnsi="Arial" w:cs="Arial"/>
                <w:szCs w:val="18"/>
                <w:u w:val="single"/>
                <w:lang w:val="es-MX"/>
              </w:rPr>
              <w:t xml:space="preserve">Dentro del termino de traslado, la parte demandada NACION-RAMA JUDICIAL, presento escrito de alegatos de conclusión.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lastRenderedPageBreak/>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3D190" w14:textId="77777777" w:rsidR="00A9388C" w:rsidRDefault="00A9388C">
      <w:pPr>
        <w:spacing w:after="0" w:line="240" w:lineRule="auto"/>
      </w:pPr>
      <w:r>
        <w:separator/>
      </w:r>
    </w:p>
  </w:endnote>
  <w:endnote w:type="continuationSeparator" w:id="0">
    <w:p w14:paraId="11D86C1D" w14:textId="77777777" w:rsidR="00A9388C" w:rsidRDefault="00A93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A9388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A938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93503" w14:textId="77777777" w:rsidR="00A9388C" w:rsidRDefault="00A9388C">
      <w:pPr>
        <w:spacing w:after="0" w:line="240" w:lineRule="auto"/>
      </w:pPr>
      <w:r>
        <w:separator/>
      </w:r>
    </w:p>
  </w:footnote>
  <w:footnote w:type="continuationSeparator" w:id="0">
    <w:p w14:paraId="6C2F07F5" w14:textId="77777777" w:rsidR="00A9388C" w:rsidRDefault="00A93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C3A89"/>
    <w:rsid w:val="000D6A0D"/>
    <w:rsid w:val="000F105D"/>
    <w:rsid w:val="00127C6E"/>
    <w:rsid w:val="00143460"/>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A4620"/>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A9388C"/>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523AD"/>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6804C-EB23-4091-B3D0-FCD19418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1048</Words>
  <Characters>5769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Tilatatiana Useche  Peñaloza</cp:lastModifiedBy>
  <cp:revision>6</cp:revision>
  <dcterms:created xsi:type="dcterms:W3CDTF">2021-08-18T17:20:00Z</dcterms:created>
  <dcterms:modified xsi:type="dcterms:W3CDTF">2021-08-26T21:09:00Z</dcterms:modified>
</cp:coreProperties>
</file>