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11594B">
        <w:rPr>
          <w:rFonts w:ascii="Tahoma" w:eastAsia="Calibri" w:hAnsi="Tahoma" w:cs="Tahoma"/>
          <w:sz w:val="24"/>
          <w:szCs w:val="24"/>
          <w:lang w:val="es-MX"/>
        </w:rPr>
        <w:t>Ximena Salazar Riaño</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sidR="0011594B">
        <w:rPr>
          <w:rFonts w:ascii="Tahoma" w:hAnsi="Tahoma" w:cs="Tahoma"/>
          <w:sz w:val="24"/>
          <w:szCs w:val="24"/>
          <w:lang w:val="es-MX"/>
        </w:rPr>
        <w:t>24</w:t>
      </w:r>
      <w:r>
        <w:rPr>
          <w:rFonts w:ascii="Tahoma" w:hAnsi="Tahoma" w:cs="Tahoma"/>
          <w:sz w:val="24"/>
          <w:szCs w:val="24"/>
          <w:lang w:val="es-MX"/>
        </w:rPr>
        <w:t>/08/2021</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Nulidad y restablecimiento del derecho</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sidR="0011594B">
        <w:rPr>
          <w:rFonts w:ascii="Tahoma" w:hAnsi="Tahoma" w:cs="Tahoma"/>
          <w:sz w:val="24"/>
          <w:szCs w:val="24"/>
          <w:lang w:val="es-MX"/>
        </w:rPr>
        <w:t xml:space="preserve"> Alfonso Sánchez Palomino</w:t>
      </w:r>
    </w:p>
    <w:p w:rsidR="009132E2"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Nación- Ministerio de Educación Nacional – </w:t>
      </w:r>
      <w:proofErr w:type="spellStart"/>
      <w:r>
        <w:rPr>
          <w:rFonts w:ascii="Tahoma" w:hAnsi="Tahoma" w:cs="Tahoma"/>
          <w:sz w:val="24"/>
          <w:szCs w:val="24"/>
          <w:lang w:val="es-MX"/>
        </w:rPr>
        <w:t>Fomag</w:t>
      </w:r>
      <w:proofErr w:type="spellEnd"/>
      <w:r>
        <w:rPr>
          <w:rFonts w:ascii="Tahoma" w:hAnsi="Tahoma" w:cs="Tahoma"/>
          <w:sz w:val="24"/>
          <w:szCs w:val="24"/>
          <w:lang w:val="es-MX"/>
        </w:rPr>
        <w:t xml:space="preserve"> </w:t>
      </w:r>
      <w:r w:rsidR="0011594B">
        <w:rPr>
          <w:rFonts w:ascii="Tahoma" w:hAnsi="Tahoma" w:cs="Tahoma"/>
          <w:sz w:val="24"/>
          <w:szCs w:val="24"/>
          <w:lang w:val="es-MX"/>
        </w:rPr>
        <w:t>– Municipio de Santiago de Cali – Secretaría de Educación</w:t>
      </w:r>
    </w:p>
    <w:p w:rsidR="009132E2" w:rsidRPr="007E6EE0" w:rsidRDefault="009132E2" w:rsidP="009132E2">
      <w:pPr>
        <w:pStyle w:val="Sinespaciado"/>
        <w:ind w:left="-1134"/>
        <w:rPr>
          <w:rFonts w:ascii="Tahoma" w:hAnsi="Tahoma" w:cs="Tahoma"/>
          <w:sz w:val="24"/>
          <w:szCs w:val="24"/>
          <w:lang w:val="es-MX"/>
        </w:rPr>
      </w:pPr>
      <w:r>
        <w:rPr>
          <w:rFonts w:ascii="Tahoma" w:hAnsi="Tahoma" w:cs="Tahoma"/>
          <w:sz w:val="24"/>
          <w:szCs w:val="24"/>
          <w:lang w:val="es-MX"/>
        </w:rPr>
        <w:t xml:space="preserve">Radicado. </w:t>
      </w:r>
      <w:r w:rsidR="0011594B">
        <w:rPr>
          <w:rFonts w:ascii="Tahoma" w:hAnsi="Tahoma" w:cs="Tahoma"/>
          <w:sz w:val="24"/>
          <w:szCs w:val="24"/>
          <w:lang w:val="es-MX"/>
        </w:rPr>
        <w:t>760013333001-2020-00054</w:t>
      </w:r>
      <w:r>
        <w:rPr>
          <w:rFonts w:ascii="Tahoma" w:hAnsi="Tahoma" w:cs="Tahoma"/>
          <w:sz w:val="24"/>
          <w:szCs w:val="24"/>
          <w:lang w:val="es-MX"/>
        </w:rPr>
        <w:t xml:space="preserve"> 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C64C2B" w:rsidRDefault="00B530D5" w:rsidP="00C64C2B">
            <w:pPr>
              <w:spacing w:after="240" w:line="240" w:lineRule="auto"/>
              <w:jc w:val="both"/>
              <w:rPr>
                <w:rFonts w:ascii="Times New Roman" w:hAnsi="Times New Roman" w:cs="Times New Roman"/>
                <w:b/>
                <w:shd w:val="clear" w:color="auto" w:fill="FAF9F8"/>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42343C" w:rsidRPr="0042343C">
              <w:rPr>
                <w:rFonts w:ascii="Times New Roman" w:eastAsia="Times New Roman" w:hAnsi="Times New Roman" w:cs="Times New Roman"/>
                <w:b/>
                <w:lang w:eastAsia="es-CO"/>
              </w:rPr>
              <w:t>En el término de traslado de la demanda, se propuso como excepción previa la ineptitud de la demanda por falta de los requisitos formales contemplada en el articulo 100 del CGP, en tanto, refiere el demandado que en la demanda se omitieron “</w:t>
            </w:r>
            <w:r w:rsidR="0042343C" w:rsidRPr="0042343C">
              <w:rPr>
                <w:rFonts w:ascii="Times New Roman" w:eastAsia="Times New Roman" w:hAnsi="Times New Roman" w:cs="Times New Roman"/>
                <w:b/>
                <w:i/>
                <w:lang w:eastAsia="es-CO"/>
              </w:rPr>
              <w:t xml:space="preserve">los </w:t>
            </w:r>
            <w:proofErr w:type="gramStart"/>
            <w:r w:rsidR="0042343C" w:rsidRPr="0042343C">
              <w:rPr>
                <w:rFonts w:ascii="Times New Roman" w:hAnsi="Times New Roman" w:cs="Times New Roman"/>
                <w:b/>
                <w:i/>
                <w:shd w:val="clear" w:color="auto" w:fill="FAF9F8"/>
              </w:rPr>
              <w:t>fundamentos  de</w:t>
            </w:r>
            <w:proofErr w:type="gramEnd"/>
            <w:r w:rsidR="0042343C" w:rsidRPr="0042343C">
              <w:rPr>
                <w:rFonts w:ascii="Times New Roman" w:hAnsi="Times New Roman" w:cs="Times New Roman"/>
                <w:b/>
                <w:i/>
                <w:shd w:val="clear" w:color="auto" w:fill="FAF9F8"/>
              </w:rPr>
              <w:t xml:space="preserve">  derecho  de  las  pretensiones.  </w:t>
            </w:r>
            <w:proofErr w:type="gramStart"/>
            <w:r w:rsidR="0042343C" w:rsidRPr="0042343C">
              <w:rPr>
                <w:rFonts w:ascii="Times New Roman" w:hAnsi="Times New Roman" w:cs="Times New Roman"/>
                <w:b/>
                <w:i/>
                <w:shd w:val="clear" w:color="auto" w:fill="FAF9F8"/>
              </w:rPr>
              <w:t>Cuando  se</w:t>
            </w:r>
            <w:proofErr w:type="gramEnd"/>
            <w:r w:rsidR="0042343C" w:rsidRPr="0042343C">
              <w:rPr>
                <w:rFonts w:ascii="Times New Roman" w:hAnsi="Times New Roman" w:cs="Times New Roman"/>
                <w:b/>
                <w:i/>
                <w:shd w:val="clear" w:color="auto" w:fill="FAF9F8"/>
              </w:rPr>
              <w:t xml:space="preserve">  trate  de  la impugnación de</w:t>
            </w:r>
            <w:r w:rsidR="0042343C" w:rsidRPr="0042343C">
              <w:rPr>
                <w:rFonts w:ascii="Times New Roman" w:hAnsi="Times New Roman" w:cs="Times New Roman"/>
                <w:b/>
                <w:i/>
                <w:shd w:val="clear" w:color="auto" w:fill="FAF9F8"/>
              </w:rPr>
              <w:t xml:space="preserve"> </w:t>
            </w:r>
            <w:r w:rsidR="0042343C" w:rsidRPr="0042343C">
              <w:rPr>
                <w:rFonts w:ascii="Times New Roman" w:hAnsi="Times New Roman" w:cs="Times New Roman"/>
                <w:b/>
                <w:i/>
                <w:shd w:val="clear" w:color="auto" w:fill="FAF9F8"/>
              </w:rPr>
              <w:t>un acto administrativo deberán indicarse las normas violadas y explicarse el concepto de su violación</w:t>
            </w:r>
            <w:r w:rsidR="0042343C" w:rsidRPr="0042343C">
              <w:rPr>
                <w:rFonts w:ascii="Times New Roman" w:hAnsi="Times New Roman" w:cs="Times New Roman"/>
                <w:b/>
                <w:i/>
                <w:shd w:val="clear" w:color="auto" w:fill="FAF9F8"/>
              </w:rPr>
              <w:t>”</w:t>
            </w:r>
            <w:r w:rsidR="0042343C">
              <w:rPr>
                <w:rFonts w:ascii="Times New Roman" w:hAnsi="Times New Roman" w:cs="Times New Roman"/>
                <w:b/>
                <w:i/>
                <w:shd w:val="clear" w:color="auto" w:fill="FAF9F8"/>
              </w:rPr>
              <w:t xml:space="preserve"> </w:t>
            </w:r>
            <w:r w:rsidR="0042343C">
              <w:rPr>
                <w:rFonts w:ascii="Times New Roman" w:hAnsi="Times New Roman" w:cs="Times New Roman"/>
                <w:b/>
                <w:shd w:val="clear" w:color="auto" w:fill="FAF9F8"/>
              </w:rPr>
              <w:t xml:space="preserve">contemplado en el articulo 162 numeral 4 </w:t>
            </w:r>
            <w:proofErr w:type="spellStart"/>
            <w:r w:rsidR="0042343C">
              <w:rPr>
                <w:rFonts w:ascii="Times New Roman" w:hAnsi="Times New Roman" w:cs="Times New Roman"/>
                <w:b/>
                <w:shd w:val="clear" w:color="auto" w:fill="FAF9F8"/>
              </w:rPr>
              <w:t>cpaca</w:t>
            </w:r>
            <w:proofErr w:type="spellEnd"/>
            <w:r w:rsidR="0042343C">
              <w:rPr>
                <w:rFonts w:ascii="Times New Roman" w:hAnsi="Times New Roman" w:cs="Times New Roman"/>
                <w:b/>
                <w:shd w:val="clear" w:color="auto" w:fill="FAF9F8"/>
              </w:rPr>
              <w:t>. Se corre traslado de esta excepción previa, conforme lo señala el artículo 101 CGP</w:t>
            </w:r>
            <w:r w:rsidR="00C64C2B">
              <w:rPr>
                <w:rFonts w:ascii="Times New Roman" w:hAnsi="Times New Roman" w:cs="Times New Roman"/>
                <w:b/>
                <w:shd w:val="clear" w:color="auto" w:fill="FAF9F8"/>
              </w:rPr>
              <w:t xml:space="preserve">. </w:t>
            </w:r>
          </w:p>
          <w:p w:rsidR="00C64C2B" w:rsidRDefault="00C64C2B" w:rsidP="00C64C2B">
            <w:pPr>
              <w:spacing w:after="240" w:line="240" w:lineRule="auto"/>
              <w:jc w:val="both"/>
              <w:rPr>
                <w:rFonts w:ascii="Times New Roman" w:hAnsi="Times New Roman" w:cs="Times New Roman"/>
                <w:b/>
                <w:shd w:val="clear" w:color="auto" w:fill="FAF9F8"/>
              </w:rPr>
            </w:pPr>
            <w:r>
              <w:rPr>
                <w:rFonts w:ascii="Times New Roman" w:hAnsi="Times New Roman" w:cs="Times New Roman"/>
                <w:b/>
                <w:shd w:val="clear" w:color="auto" w:fill="FAF9F8"/>
              </w:rPr>
              <w:t xml:space="preserve">Por otro </w:t>
            </w:r>
            <w:proofErr w:type="gramStart"/>
            <w:r>
              <w:rPr>
                <w:rFonts w:ascii="Times New Roman" w:hAnsi="Times New Roman" w:cs="Times New Roman"/>
                <w:b/>
                <w:shd w:val="clear" w:color="auto" w:fill="FAF9F8"/>
              </w:rPr>
              <w:t>lado</w:t>
            </w:r>
            <w:proofErr w:type="gramEnd"/>
            <w:r>
              <w:rPr>
                <w:rFonts w:ascii="Times New Roman" w:hAnsi="Times New Roman" w:cs="Times New Roman"/>
                <w:b/>
                <w:shd w:val="clear" w:color="auto" w:fill="FAF9F8"/>
              </w:rPr>
              <w:t xml:space="preserve"> no se advierte el incumplimiento de requisitos de procedibilidad.</w:t>
            </w:r>
            <w:r w:rsidR="0042343C">
              <w:rPr>
                <w:rFonts w:ascii="Times New Roman" w:hAnsi="Times New Roman" w:cs="Times New Roman"/>
                <w:b/>
                <w:shd w:val="clear" w:color="auto" w:fill="FAF9F8"/>
              </w:rPr>
              <w:t xml:space="preserve"> </w:t>
            </w:r>
          </w:p>
          <w:p w:rsidR="00C64C2B" w:rsidRDefault="00C64C2B" w:rsidP="00C64C2B">
            <w:pPr>
              <w:spacing w:after="240" w:line="240" w:lineRule="auto"/>
              <w:jc w:val="both"/>
              <w:rPr>
                <w:rFonts w:ascii="Arial" w:eastAsia="Times New Roman" w:hAnsi="Arial" w:cs="Arial"/>
                <w:b/>
                <w:bCs/>
                <w:i/>
                <w:iCs/>
                <w:color w:val="000000"/>
                <w:sz w:val="18"/>
                <w:szCs w:val="18"/>
                <w:lang w:eastAsia="es-CO"/>
              </w:rPr>
            </w:pPr>
          </w:p>
          <w:p w:rsidR="00BC0560" w:rsidRPr="00BC0560" w:rsidRDefault="00BC0560" w:rsidP="00C64C2B">
            <w:pPr>
              <w:spacing w:after="24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C64C2B">
              <w:rPr>
                <w:rFonts w:ascii="Times New Roman" w:eastAsia="Times New Roman" w:hAnsi="Times New Roman" w:cs="Times New Roman"/>
                <w:b/>
                <w:sz w:val="24"/>
                <w:szCs w:val="24"/>
                <w:lang w:eastAsia="es-CO"/>
              </w:rPr>
              <w:t>Mediante auto se dispuso el pronunciamiento acerca de la excepción previa propuesta esto es ineptitud de la demanda por falta de requisitos formales, la cual se declaró no probada, también se refirió que la excepción de falta de legitimación en la causa por pasiva, al ser una excepción de merito se resolvería en la sentencia.</w:t>
            </w:r>
          </w:p>
          <w:p w:rsidR="00C64C2B" w:rsidRDefault="00C64C2B" w:rsidP="00D454B2">
            <w:pPr>
              <w:spacing w:after="0" w:line="240" w:lineRule="auto"/>
              <w:jc w:val="both"/>
              <w:rPr>
                <w:rFonts w:ascii="Times New Roman" w:eastAsia="Times New Roman" w:hAnsi="Times New Roman" w:cs="Times New Roman"/>
                <w:b/>
                <w:sz w:val="24"/>
                <w:szCs w:val="24"/>
                <w:lang w:eastAsia="es-CO"/>
              </w:rPr>
            </w:pPr>
          </w:p>
          <w:p w:rsidR="00C64C2B" w:rsidRDefault="00C64C2B" w:rsidP="00D454B2">
            <w:pPr>
              <w:spacing w:after="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De otro lado, se fijó el litigio y se hizo el pronunciamiento de las pruebas documentales aportadas señalando que, como quiera que son suficientes para proferir sentencia, se procede a su incorporación.</w:t>
            </w:r>
          </w:p>
          <w:p w:rsidR="00C64C2B" w:rsidRPr="00D454B2" w:rsidRDefault="00C64C2B" w:rsidP="00D454B2">
            <w:pPr>
              <w:spacing w:after="0" w:line="240" w:lineRule="auto"/>
              <w:jc w:val="both"/>
              <w:rPr>
                <w:rFonts w:ascii="Times New Roman" w:eastAsia="Times New Roman" w:hAnsi="Times New Roman" w:cs="Times New Roman"/>
                <w:b/>
                <w:sz w:val="24"/>
                <w:szCs w:val="24"/>
                <w:lang w:eastAsia="es-CO"/>
              </w:rPr>
            </w:pP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En el término de traslado </w:t>
            </w:r>
            <w:r w:rsidR="00BB5EE9">
              <w:rPr>
                <w:rFonts w:ascii="Arial" w:eastAsia="Times New Roman" w:hAnsi="Arial" w:cs="Arial"/>
                <w:b/>
                <w:color w:val="000000"/>
                <w:lang w:eastAsia="es-CO"/>
              </w:rPr>
              <w:t>para alegar</w:t>
            </w:r>
            <w:r w:rsidRPr="009E03CD">
              <w:rPr>
                <w:rFonts w:ascii="Arial" w:eastAsia="Times New Roman" w:hAnsi="Arial" w:cs="Arial"/>
                <w:b/>
                <w:color w:val="000000"/>
                <w:lang w:eastAsia="es-CO"/>
              </w:rPr>
              <w:t xml:space="preserve">, </w:t>
            </w:r>
            <w:r w:rsidR="00BB5EE9">
              <w:rPr>
                <w:rFonts w:ascii="Arial" w:eastAsia="Times New Roman" w:hAnsi="Arial" w:cs="Arial"/>
                <w:b/>
                <w:color w:val="000000"/>
                <w:lang w:eastAsia="es-CO"/>
              </w:rPr>
              <w:t>las partes presentaron los alegatos de conclusión,</w:t>
            </w:r>
            <w:r w:rsidRPr="009E03CD">
              <w:rPr>
                <w:rFonts w:ascii="Arial" w:eastAsia="Times New Roman" w:hAnsi="Arial" w:cs="Arial"/>
                <w:b/>
                <w:color w:val="000000"/>
                <w:lang w:eastAsia="es-CO"/>
              </w:rPr>
              <w:t xml:space="preserve"> </w:t>
            </w:r>
            <w:r w:rsidR="00BB5EE9">
              <w:rPr>
                <w:rFonts w:ascii="Arial" w:eastAsia="Times New Roman" w:hAnsi="Arial" w:cs="Arial"/>
                <w:b/>
                <w:color w:val="000000"/>
                <w:lang w:eastAsia="es-CO"/>
              </w:rPr>
              <w:t>pasando de esta manera el proceso a Despacho para la emisión de la sentencia anticipada, en la cual se declaró probada la excepción de falta de legitimación en la causa por pasiva y se negaron las pretensiones de la demanda</w:t>
            </w:r>
            <w:r w:rsidR="009132E2">
              <w:rPr>
                <w:rFonts w:ascii="Arial" w:eastAsia="Times New Roman" w:hAnsi="Arial" w:cs="Arial"/>
                <w:b/>
                <w:color w:val="000000"/>
                <w:lang w:eastAsia="es-CO"/>
              </w:rPr>
              <w:t>.</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bookmarkStart w:id="0" w:name="_GoBack"/>
            <w:bookmarkEnd w:id="0"/>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11594B"/>
    <w:rsid w:val="002B6B49"/>
    <w:rsid w:val="0042343C"/>
    <w:rsid w:val="008C66DF"/>
    <w:rsid w:val="009132E2"/>
    <w:rsid w:val="009E03CD"/>
    <w:rsid w:val="00B530D5"/>
    <w:rsid w:val="00B625A2"/>
    <w:rsid w:val="00BB5EE9"/>
    <w:rsid w:val="00BC0560"/>
    <w:rsid w:val="00C64C2B"/>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61F6"/>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1163</Words>
  <Characters>6401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Juzgado 01 Civil Circuito Caldas - Manizales</cp:lastModifiedBy>
  <cp:revision>2</cp:revision>
  <dcterms:created xsi:type="dcterms:W3CDTF">2021-08-25T01:24:00Z</dcterms:created>
  <dcterms:modified xsi:type="dcterms:W3CDTF">2021-08-25T01:24:00Z</dcterms:modified>
</cp:coreProperties>
</file>