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7A1" w:rsidRPr="00BD17A1" w:rsidRDefault="00BD17A1" w:rsidP="00BD17A1">
      <w:pPr>
        <w:spacing w:after="0" w:line="240" w:lineRule="auto"/>
        <w:jc w:val="center"/>
        <w:rPr>
          <w:rFonts w:ascii="Times New Roman" w:eastAsia="Times New Roman" w:hAnsi="Times New Roman" w:cs="Times New Roman"/>
          <w:sz w:val="24"/>
          <w:szCs w:val="24"/>
          <w:lang w:eastAsia="es-CO"/>
        </w:rPr>
      </w:pPr>
      <w:r w:rsidRPr="00BD17A1">
        <w:rPr>
          <w:rFonts w:ascii="Arial" w:eastAsia="Times New Roman" w:hAnsi="Arial" w:cs="Arial"/>
          <w:b/>
          <w:bCs/>
          <w:color w:val="000000"/>
          <w:lang w:eastAsia="es-CO"/>
        </w:rPr>
        <w:t>ESCUELA JUDICIAL RODRIGO LARA BONILLA</w:t>
      </w:r>
    </w:p>
    <w:p w:rsidR="00BD17A1" w:rsidRPr="00BD17A1" w:rsidRDefault="00BD17A1" w:rsidP="00BD17A1">
      <w:pPr>
        <w:spacing w:after="0" w:line="240" w:lineRule="auto"/>
        <w:jc w:val="center"/>
        <w:rPr>
          <w:rFonts w:ascii="Times New Roman" w:eastAsia="Times New Roman" w:hAnsi="Times New Roman" w:cs="Times New Roman"/>
          <w:sz w:val="24"/>
          <w:szCs w:val="24"/>
          <w:lang w:eastAsia="es-CO"/>
        </w:rPr>
      </w:pPr>
      <w:r w:rsidRPr="00BD17A1">
        <w:rPr>
          <w:rFonts w:ascii="Arial" w:eastAsia="Times New Roman" w:hAnsi="Arial" w:cs="Arial"/>
          <w:b/>
          <w:bCs/>
          <w:color w:val="000000"/>
          <w:lang w:eastAsia="es-CO"/>
        </w:rPr>
        <w:t>LISTA DE CHEQUEO – ADOPCIÓN DE MEDIDAS PARA DICTAR SENTENCIA ANTICIPADA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b/>
          <w:bCs/>
          <w:color w:val="000000"/>
          <w:lang w:eastAsia="es-CO"/>
        </w:rPr>
        <w:t>DISPOSICIONES A APLICAR </w:t>
      </w:r>
    </w:p>
    <w:p w:rsidR="00BD17A1" w:rsidRPr="00BD17A1" w:rsidRDefault="00BD17A1" w:rsidP="00BD17A1">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t> </w:t>
      </w:r>
      <w:r w:rsidR="00F04C3E">
        <w:t>Aplicación artículo 13 del Decreto Legislativo No. 806 del 4 de junio de 2020 y artículo 182A Ley 1437 de 2011–sentencia anticipada- y ordena correr traslado para alegar de conclusión</w:t>
      </w:r>
    </w:p>
    <w:p w:rsidR="00BD17A1" w:rsidRPr="00BD17A1" w:rsidRDefault="00BD17A1" w:rsidP="00BD17A1">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Artículo 38 L. 2080 de 2021 (Parágrafo 2° del artículo 175 del CPACA)</w:t>
      </w:r>
    </w:p>
    <w:p w:rsidR="00BD17A1" w:rsidRPr="00BD17A1" w:rsidRDefault="00BD17A1" w:rsidP="00BD17A1">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Artículo 42 L. 2080 de 2021 (adiciona 182A al CPACA)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ind w:left="-1134"/>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Elaborada por: MARYBELI RINCÓN GÓMEZ</w:t>
      </w:r>
    </w:p>
    <w:p w:rsidR="00BD17A1" w:rsidRPr="00BD17A1" w:rsidRDefault="00BD17A1" w:rsidP="00BD17A1">
      <w:pPr>
        <w:spacing w:after="0" w:line="240" w:lineRule="auto"/>
        <w:ind w:left="-1134"/>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Fecha:   26-08-2021</w:t>
      </w:r>
    </w:p>
    <w:p w:rsidR="00BD17A1" w:rsidRPr="00BD17A1" w:rsidRDefault="00BD17A1" w:rsidP="00BD17A1">
      <w:pPr>
        <w:spacing w:after="0" w:line="240" w:lineRule="auto"/>
        <w:ind w:left="-1134"/>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Medio de control: REPARACION DIRECTA</w:t>
      </w:r>
    </w:p>
    <w:p w:rsidR="00BD17A1" w:rsidRPr="00BD17A1" w:rsidRDefault="00F04C3E" w:rsidP="00BD17A1">
      <w:pPr>
        <w:spacing w:after="0" w:line="240" w:lineRule="auto"/>
        <w:ind w:left="-1134"/>
        <w:rPr>
          <w:rFonts w:ascii="Times New Roman" w:eastAsia="Times New Roman" w:hAnsi="Times New Roman" w:cs="Times New Roman"/>
          <w:sz w:val="24"/>
          <w:szCs w:val="24"/>
          <w:lang w:eastAsia="es-CO"/>
        </w:rPr>
      </w:pPr>
      <w:r>
        <w:rPr>
          <w:rFonts w:ascii="Arial" w:eastAsia="Times New Roman" w:hAnsi="Arial" w:cs="Arial"/>
          <w:color w:val="000000"/>
          <w:lang w:eastAsia="es-CO"/>
        </w:rPr>
        <w:t>Demandante CARLOS ANDRES ROMERO RUBIANO</w:t>
      </w:r>
    </w:p>
    <w:p w:rsidR="00BD17A1" w:rsidRPr="00BD17A1" w:rsidRDefault="00BD17A1" w:rsidP="00BD17A1">
      <w:pPr>
        <w:spacing w:after="0" w:line="240" w:lineRule="auto"/>
        <w:ind w:left="-1134"/>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Demandado:</w:t>
      </w:r>
      <w:r w:rsidR="00F04C3E" w:rsidRPr="00F04C3E">
        <w:t xml:space="preserve"> </w:t>
      </w:r>
      <w:r w:rsidR="00F04C3E">
        <w:t>NACIÓN - MINISTERIO DE DEFENSA - EJÉRCITO NACIONAL</w:t>
      </w:r>
      <w:bookmarkStart w:id="0" w:name="_GoBack"/>
      <w:bookmarkEnd w:id="0"/>
    </w:p>
    <w:p w:rsidR="00BD17A1" w:rsidRPr="00BD17A1" w:rsidRDefault="00BD17A1" w:rsidP="00BD17A1">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D17A1" w:rsidRPr="00BD17A1" w:rsidTr="00BD17A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17A1" w:rsidRPr="00BD17A1" w:rsidRDefault="00BD17A1" w:rsidP="00BD17A1">
            <w:pPr>
              <w:spacing w:after="0" w:line="240" w:lineRule="auto"/>
              <w:ind w:left="27"/>
              <w:rPr>
                <w:rFonts w:ascii="Times New Roman" w:eastAsia="Times New Roman" w:hAnsi="Times New Roman" w:cs="Times New Roman"/>
                <w:sz w:val="24"/>
                <w:szCs w:val="24"/>
                <w:lang w:eastAsia="es-CO"/>
              </w:rPr>
            </w:pPr>
            <w:r w:rsidRPr="00BD17A1">
              <w:rPr>
                <w:rFonts w:ascii="Arial" w:eastAsia="Times New Roman" w:hAnsi="Arial" w:cs="Arial"/>
                <w:b/>
                <w:bCs/>
                <w:color w:val="000000"/>
                <w:lang w:eastAsia="es-CO"/>
              </w:rPr>
              <w:t>VERIFICACIÓN DE REGLAS PROCESALES PARA EMISIÓN DE SENTENCIA ANTICIPADA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 xml:space="preserve">Verifique que el término de traslado de la demanda se encuentra vencido y que no hay excepciones previas que resolver o no se advierta el incumplimiento de requisitos de </w:t>
            </w:r>
            <w:proofErr w:type="spellStart"/>
            <w:r w:rsidRPr="00BD17A1">
              <w:rPr>
                <w:rFonts w:ascii="Arial" w:eastAsia="Times New Roman" w:hAnsi="Arial" w:cs="Arial"/>
                <w:color w:val="000000"/>
                <w:lang w:eastAsia="es-CO"/>
              </w:rPr>
              <w:t>procedibilidad</w:t>
            </w:r>
            <w:proofErr w:type="spellEnd"/>
            <w:r w:rsidRPr="00BD17A1">
              <w:rPr>
                <w:rFonts w:ascii="Arial" w:eastAsia="Times New Roman" w:hAnsi="Arial" w:cs="Arial"/>
                <w:color w:val="000000"/>
                <w:lang w:eastAsia="es-CO"/>
              </w:rPr>
              <w:t>.</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(Arts. 172, 175, 199 del CPACA)</w:t>
            </w:r>
          </w:p>
          <w:p w:rsidR="00BD17A1" w:rsidRPr="00BD17A1" w:rsidRDefault="00BD17A1" w:rsidP="00BD17A1">
            <w:pPr>
              <w:spacing w:after="24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sz w:val="18"/>
                <w:szCs w:val="18"/>
                <w:lang w:eastAsia="es-CO"/>
              </w:rPr>
              <w:t>Nota:</w:t>
            </w:r>
            <w:r w:rsidRPr="00BD17A1">
              <w:rPr>
                <w:rFonts w:ascii="Arial" w:eastAsia="Times New Roman" w:hAnsi="Arial" w:cs="Arial"/>
                <w:i/>
                <w:iCs/>
                <w:color w:val="000000"/>
                <w:lang w:eastAsia="es-CO"/>
              </w:rPr>
              <w:t xml:space="preserve"> </w:t>
            </w:r>
            <w:r w:rsidRPr="00BD17A1">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D17A1">
              <w:rPr>
                <w:rFonts w:ascii="Arial" w:eastAsia="Times New Roman" w:hAnsi="Arial" w:cs="Arial"/>
                <w:i/>
                <w:iCs/>
                <w:color w:val="000000"/>
                <w:lang w:eastAsia="es-CO"/>
              </w:rPr>
              <w:t>. </w:t>
            </w:r>
          </w:p>
        </w:tc>
      </w:tr>
      <w:tr w:rsidR="00BD17A1" w:rsidRPr="00BD17A1" w:rsidTr="00BD17A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17A1" w:rsidRPr="00BD17A1" w:rsidRDefault="00BD17A1" w:rsidP="00BD17A1">
            <w:pPr>
              <w:numPr>
                <w:ilvl w:val="0"/>
                <w:numId w:val="1"/>
              </w:numPr>
              <w:spacing w:after="0" w:line="240" w:lineRule="auto"/>
              <w:ind w:left="387"/>
              <w:textAlignment w:val="baseline"/>
              <w:rPr>
                <w:rFonts w:ascii="Arial" w:eastAsia="Times New Roman" w:hAnsi="Arial" w:cs="Arial"/>
                <w:b/>
                <w:bCs/>
                <w:color w:val="000000"/>
                <w:lang w:eastAsia="es-CO"/>
              </w:rPr>
            </w:pPr>
            <w:r w:rsidRPr="00BD17A1">
              <w:rPr>
                <w:rFonts w:ascii="Arial" w:eastAsia="Times New Roman" w:hAnsi="Arial" w:cs="Arial"/>
                <w:b/>
                <w:bCs/>
                <w:color w:val="000000"/>
                <w:lang w:eastAsia="es-CO"/>
              </w:rPr>
              <w:t>SENTENCIA ANTICIPADA ANTES DE LA AUDIENCIA INICIAL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 (Numeral 1° del artículo 182A del CPACA)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ind w:left="708"/>
              <w:jc w:val="both"/>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lang w:eastAsia="es-CO"/>
              </w:rPr>
              <w:t>a</w:t>
            </w:r>
            <w:r w:rsidRPr="00BD17A1">
              <w:rPr>
                <w:rFonts w:ascii="Arial" w:eastAsia="Times New Roman" w:hAnsi="Arial" w:cs="Arial"/>
                <w:i/>
                <w:iCs/>
                <w:color w:val="000000"/>
                <w:lang w:eastAsia="es-CO"/>
              </w:rPr>
              <w:t>) Cuando se trate de asuntos de puro derecho;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ind w:left="708"/>
              <w:jc w:val="both"/>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lang w:eastAsia="es-CO"/>
              </w:rPr>
              <w:t>b)</w:t>
            </w:r>
            <w:r w:rsidRPr="00BD17A1">
              <w:rPr>
                <w:rFonts w:ascii="Arial" w:eastAsia="Times New Roman" w:hAnsi="Arial" w:cs="Arial"/>
                <w:i/>
                <w:iCs/>
                <w:color w:val="000000"/>
                <w:lang w:eastAsia="es-CO"/>
              </w:rPr>
              <w:t xml:space="preserve"> Cuando no haya que practicar pruebas;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ind w:left="708"/>
              <w:jc w:val="both"/>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lang w:eastAsia="es-CO"/>
              </w:rPr>
              <w:t>c)</w:t>
            </w:r>
            <w:r w:rsidRPr="00BD17A1">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ind w:left="720"/>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lang w:eastAsia="es-CO"/>
              </w:rPr>
              <w:t>d)</w:t>
            </w:r>
            <w:r w:rsidRPr="00BD17A1">
              <w:rPr>
                <w:rFonts w:ascii="Arial" w:eastAsia="Times New Roman" w:hAnsi="Arial" w:cs="Arial"/>
                <w:i/>
                <w:iCs/>
                <w:color w:val="000000"/>
                <w:lang w:eastAsia="es-CO"/>
              </w:rPr>
              <w:t xml:space="preserve"> Cuando las pruebas solicitadas por las partes sean impertinentes, inconducentes o inútiles.</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Cuando se verifique que procede la sentencia anticipada por alguno de los casos antes descritos, el juez o magistrado ponente debe: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2"/>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 xml:space="preserve">Proferir auto donde debe pronunciarse sobre las pruebas cuando a ello hubiere </w:t>
            </w:r>
            <w:r w:rsidRPr="00BD17A1">
              <w:rPr>
                <w:rFonts w:ascii="Arial" w:eastAsia="Times New Roman" w:hAnsi="Arial" w:cs="Arial"/>
                <w:color w:val="000000"/>
                <w:lang w:eastAsia="es-CO"/>
              </w:rPr>
              <w:lastRenderedPageBreak/>
              <w:t>lugar, aplicando el artículo 173 del CGP. </w:t>
            </w:r>
          </w:p>
          <w:p w:rsidR="00BD17A1" w:rsidRPr="00BD17A1" w:rsidRDefault="00BD17A1" w:rsidP="00BD17A1">
            <w:pPr>
              <w:numPr>
                <w:ilvl w:val="0"/>
                <w:numId w:val="2"/>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En la misma providencia debe fijar el litigio u objeto de la controversia.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En firme las decisiones antes señaladas, se debe: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3"/>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Correr traslado para alegar de conclusión en la forma prevista en el inciso final del artículo 181 del CPACA, y,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4"/>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5"/>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b/>
                <w:bCs/>
                <w:i/>
                <w:iCs/>
                <w:color w:val="000000"/>
                <w:sz w:val="18"/>
                <w:szCs w:val="18"/>
                <w:lang w:eastAsia="es-CO"/>
              </w:rPr>
              <w:t>Nota: </w:t>
            </w: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D17A1">
              <w:rPr>
                <w:rFonts w:ascii="Arial" w:eastAsia="Times New Roman" w:hAnsi="Arial" w:cs="Arial"/>
                <w:i/>
                <w:iCs/>
                <w:color w:val="000000"/>
                <w:sz w:val="18"/>
                <w:szCs w:val="18"/>
                <w:lang w:eastAsia="es-CO"/>
              </w:rPr>
              <w:t>Lisset</w:t>
            </w:r>
            <w:proofErr w:type="spellEnd"/>
            <w:r w:rsidRPr="00BD17A1">
              <w:rPr>
                <w:rFonts w:ascii="Arial" w:eastAsia="Times New Roman" w:hAnsi="Arial" w:cs="Arial"/>
                <w:i/>
                <w:iCs/>
                <w:color w:val="000000"/>
                <w:sz w:val="18"/>
                <w:szCs w:val="18"/>
                <w:lang w:eastAsia="es-CO"/>
              </w:rPr>
              <w:t xml:space="preserve"> Ibarra Vélez. </w:t>
            </w:r>
            <w:proofErr w:type="gramStart"/>
            <w:r w:rsidRPr="00BD17A1">
              <w:rPr>
                <w:rFonts w:ascii="Arial" w:eastAsia="Times New Roman" w:hAnsi="Arial" w:cs="Arial"/>
                <w:i/>
                <w:iCs/>
                <w:color w:val="000000"/>
                <w:sz w:val="18"/>
                <w:szCs w:val="18"/>
                <w:lang w:eastAsia="es-CO"/>
              </w:rPr>
              <w:t>veintiuno</w:t>
            </w:r>
            <w:proofErr w:type="gramEnd"/>
            <w:r w:rsidRPr="00BD17A1">
              <w:rPr>
                <w:rFonts w:ascii="Arial" w:eastAsia="Times New Roman" w:hAnsi="Arial" w:cs="Arial"/>
                <w:i/>
                <w:iCs/>
                <w:color w:val="000000"/>
                <w:sz w:val="18"/>
                <w:szCs w:val="18"/>
                <w:lang w:eastAsia="es-CO"/>
              </w:rPr>
              <w:t xml:space="preserve"> (21) de junio de dos mil veintiuno (2021). Referencia del expediente: 11001032500020180079100 (3026-2018). </w:t>
            </w:r>
          </w:p>
        </w:tc>
      </w:tr>
      <w:tr w:rsidR="00BD17A1" w:rsidRPr="00BD17A1" w:rsidTr="00BD17A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17A1" w:rsidRPr="00BD17A1" w:rsidRDefault="00BD17A1" w:rsidP="00BD17A1">
            <w:pPr>
              <w:numPr>
                <w:ilvl w:val="0"/>
                <w:numId w:val="6"/>
              </w:numPr>
              <w:spacing w:after="0" w:line="240" w:lineRule="auto"/>
              <w:textAlignment w:val="baseline"/>
              <w:rPr>
                <w:rFonts w:ascii="Arial" w:eastAsia="Times New Roman" w:hAnsi="Arial" w:cs="Arial"/>
                <w:b/>
                <w:bCs/>
                <w:color w:val="000000"/>
                <w:lang w:eastAsia="es-CO"/>
              </w:rPr>
            </w:pPr>
            <w:r w:rsidRPr="00BD17A1">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(Numeral 2° del artículo 182A del CPACA)</w:t>
            </w:r>
          </w:p>
          <w:p w:rsidR="00BD17A1" w:rsidRPr="00BD17A1" w:rsidRDefault="00BD17A1" w:rsidP="00BD17A1">
            <w:pPr>
              <w:spacing w:after="24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Analizar las siguientes situaciones y proferir las decisiones que corresponde así: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7"/>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Si en el proceso intervienen litisconsortes necesarios, la petición deberá realizarse conjuntamente con estos;</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8"/>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9"/>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 xml:space="preserve">Si la solicitud se hace por escrito, las partes podrán allegar con la petición de emisión de sentencia anticipada, sus alegatos de conclusión, de lo cual, se dará traslado por diez días comunes al Ministerio Público y demás intervinientes, a </w:t>
            </w:r>
            <w:r w:rsidRPr="00BD17A1">
              <w:rPr>
                <w:rFonts w:ascii="Arial" w:eastAsia="Times New Roman" w:hAnsi="Arial" w:cs="Arial"/>
                <w:color w:val="000000"/>
                <w:lang w:eastAsia="es-CO"/>
              </w:rPr>
              <w:lastRenderedPageBreak/>
              <w:t>través de providencia escrita en la que se acepte la petición proveniente de las partes de proferir sentencia anticipada;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0"/>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1"/>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El juzgador rechazará la solicitud cuando advierta fraude o colusión</w:t>
            </w:r>
          </w:p>
          <w:p w:rsidR="00BD17A1" w:rsidRPr="00BD17A1" w:rsidRDefault="00BD17A1" w:rsidP="00BD17A1">
            <w:pPr>
              <w:spacing w:after="24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tc>
      </w:tr>
      <w:tr w:rsidR="00BD17A1" w:rsidRPr="00BD17A1" w:rsidTr="00BD17A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17A1" w:rsidRPr="00BD17A1" w:rsidRDefault="00BD17A1" w:rsidP="00BD17A1">
            <w:pPr>
              <w:numPr>
                <w:ilvl w:val="0"/>
                <w:numId w:val="12"/>
              </w:numPr>
              <w:spacing w:after="0" w:line="240" w:lineRule="auto"/>
              <w:jc w:val="both"/>
              <w:textAlignment w:val="baseline"/>
              <w:rPr>
                <w:rFonts w:ascii="Arial" w:eastAsia="Times New Roman" w:hAnsi="Arial" w:cs="Arial"/>
                <w:b/>
                <w:bCs/>
                <w:color w:val="000000"/>
                <w:lang w:eastAsia="es-CO"/>
              </w:rPr>
            </w:pPr>
            <w:r w:rsidRPr="00BD17A1">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(Numeral 3° del artículo 182A del CPACA)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En estos eventos se debe proceder de la siguiente manera: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3"/>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4"/>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jc w:val="both"/>
              <w:rPr>
                <w:rFonts w:ascii="Times New Roman" w:eastAsia="Times New Roman" w:hAnsi="Times New Roman" w:cs="Times New Roman"/>
                <w:sz w:val="24"/>
                <w:szCs w:val="24"/>
                <w:lang w:eastAsia="es-CO"/>
              </w:rPr>
            </w:pPr>
            <w:r w:rsidRPr="00BD17A1">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D17A1">
              <w:rPr>
                <w:rFonts w:ascii="Arial" w:eastAsia="Times New Roman" w:hAnsi="Arial" w:cs="Arial"/>
                <w:color w:val="000000"/>
                <w:lang w:eastAsia="es-CO"/>
              </w:rPr>
              <w:t>. </w:t>
            </w:r>
          </w:p>
        </w:tc>
      </w:tr>
      <w:tr w:rsidR="00BD17A1" w:rsidRPr="00BD17A1" w:rsidTr="00BD17A1">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D17A1" w:rsidRPr="00BD17A1" w:rsidRDefault="00BD17A1" w:rsidP="00BD17A1">
            <w:pPr>
              <w:numPr>
                <w:ilvl w:val="0"/>
                <w:numId w:val="15"/>
              </w:numPr>
              <w:spacing w:after="0" w:line="240" w:lineRule="auto"/>
              <w:textAlignment w:val="baseline"/>
              <w:rPr>
                <w:rFonts w:ascii="Arial" w:eastAsia="Times New Roman" w:hAnsi="Arial" w:cs="Arial"/>
                <w:b/>
                <w:bCs/>
                <w:color w:val="000000"/>
                <w:lang w:eastAsia="es-CO"/>
              </w:rPr>
            </w:pPr>
            <w:r w:rsidRPr="00BD17A1">
              <w:rPr>
                <w:rFonts w:ascii="Arial" w:eastAsia="Times New Roman" w:hAnsi="Arial" w:cs="Arial"/>
                <w:b/>
                <w:bCs/>
                <w:color w:val="000000"/>
                <w:lang w:eastAsia="es-CO"/>
              </w:rPr>
              <w:t>EN CASO DE ALLANAMIENTO O TRANSACCIÓN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(Numeral 4° del artículo 182A del CPACA)</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Arial" w:eastAsia="Times New Roman" w:hAnsi="Arial" w:cs="Arial"/>
                <w:color w:val="000000"/>
                <w:lang w:eastAsia="es-CO"/>
              </w:rPr>
              <w:t>En estos casos, el trámite será el siguiente: </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6"/>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Se dictará sentencia anticipada de manera inmediata, en aplicación del artículo 176 del CPACA; pero</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7"/>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rsidR="00BD17A1" w:rsidRPr="00BD17A1" w:rsidRDefault="00BD17A1" w:rsidP="00BD17A1">
            <w:pPr>
              <w:spacing w:after="0" w:line="240" w:lineRule="auto"/>
              <w:rPr>
                <w:rFonts w:ascii="Times New Roman" w:eastAsia="Times New Roman" w:hAnsi="Times New Roman" w:cs="Times New Roman"/>
                <w:sz w:val="24"/>
                <w:szCs w:val="24"/>
                <w:lang w:eastAsia="es-CO"/>
              </w:rPr>
            </w:pPr>
            <w:r w:rsidRPr="00BD17A1">
              <w:rPr>
                <w:rFonts w:ascii="Times New Roman" w:eastAsia="Times New Roman" w:hAnsi="Times New Roman" w:cs="Times New Roman"/>
                <w:sz w:val="24"/>
                <w:szCs w:val="24"/>
                <w:lang w:eastAsia="es-CO"/>
              </w:rPr>
              <w:br/>
            </w:r>
          </w:p>
          <w:p w:rsidR="00BD17A1" w:rsidRPr="00BD17A1" w:rsidRDefault="00BD17A1" w:rsidP="00BD17A1">
            <w:pPr>
              <w:numPr>
                <w:ilvl w:val="0"/>
                <w:numId w:val="18"/>
              </w:numPr>
              <w:spacing w:after="0" w:line="240" w:lineRule="auto"/>
              <w:jc w:val="both"/>
              <w:textAlignment w:val="baseline"/>
              <w:rPr>
                <w:rFonts w:ascii="Arial" w:eastAsia="Times New Roman" w:hAnsi="Arial" w:cs="Arial"/>
                <w:color w:val="000000"/>
                <w:lang w:eastAsia="es-CO"/>
              </w:rPr>
            </w:pPr>
            <w:r w:rsidRPr="00BD17A1">
              <w:rPr>
                <w:rFonts w:ascii="Arial" w:eastAsia="Times New Roman" w:hAnsi="Arial" w:cs="Arial"/>
                <w:color w:val="000000"/>
                <w:lang w:eastAsia="es-CO"/>
              </w:rPr>
              <w:lastRenderedPageBreak/>
              <w:t xml:space="preserve">Cumplido lo anterior, el juzgador podrá proferir sentencia anticipada inmediatamente </w:t>
            </w:r>
            <w:r w:rsidRPr="00BD17A1">
              <w:rPr>
                <w:rFonts w:ascii="Arial" w:eastAsia="Times New Roman" w:hAnsi="Arial" w:cs="Arial"/>
                <w:i/>
                <w:iCs/>
                <w:color w:val="000000"/>
                <w:lang w:eastAsia="es-CO"/>
              </w:rPr>
              <w:t>-si ha desaparecido la sospecha de fraude o colusión-</w:t>
            </w:r>
            <w:r w:rsidRPr="00BD17A1">
              <w:rPr>
                <w:rFonts w:ascii="Arial" w:eastAsia="Times New Roman" w:hAnsi="Arial" w:cs="Arial"/>
                <w:color w:val="000000"/>
                <w:lang w:eastAsia="es-CO"/>
              </w:rPr>
              <w:t>, o continuará el trámite normal del proceso.</w:t>
            </w:r>
          </w:p>
          <w:p w:rsidR="00BD17A1" w:rsidRPr="00BD17A1" w:rsidRDefault="00BD17A1" w:rsidP="00BD17A1">
            <w:pPr>
              <w:spacing w:after="240" w:line="240" w:lineRule="auto"/>
              <w:rPr>
                <w:rFonts w:ascii="Times New Roman" w:eastAsia="Times New Roman" w:hAnsi="Times New Roman" w:cs="Times New Roman"/>
                <w:sz w:val="24"/>
                <w:szCs w:val="24"/>
                <w:lang w:eastAsia="es-CO"/>
              </w:rPr>
            </w:pPr>
          </w:p>
        </w:tc>
      </w:tr>
    </w:tbl>
    <w:p w:rsidR="000D568F" w:rsidRDefault="00BD17A1">
      <w:r>
        <w:rPr>
          <w:rFonts w:ascii="Times New Roman" w:eastAsia="Times New Roman" w:hAnsi="Times New Roman" w:cs="Times New Roman"/>
          <w:sz w:val="24"/>
          <w:szCs w:val="24"/>
          <w:lang w:eastAsia="es-CO"/>
        </w:rPr>
        <w:lastRenderedPageBreak/>
        <w:br/>
      </w:r>
    </w:p>
    <w:sectPr w:rsidR="000D568F" w:rsidSect="007812D2">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34AD4"/>
    <w:multiLevelType w:val="hybridMultilevel"/>
    <w:tmpl w:val="E3BC4474"/>
    <w:lvl w:ilvl="0" w:tplc="652A7E34">
      <w:start w:val="2"/>
      <w:numFmt w:val="lowerLetter"/>
      <w:lvlText w:val="%1."/>
      <w:lvlJc w:val="left"/>
      <w:pPr>
        <w:tabs>
          <w:tab w:val="num" w:pos="720"/>
        </w:tabs>
        <w:ind w:left="720" w:hanging="360"/>
      </w:pPr>
    </w:lvl>
    <w:lvl w:ilvl="1" w:tplc="FF1C9282" w:tentative="1">
      <w:start w:val="1"/>
      <w:numFmt w:val="decimal"/>
      <w:lvlText w:val="%2."/>
      <w:lvlJc w:val="left"/>
      <w:pPr>
        <w:tabs>
          <w:tab w:val="num" w:pos="1440"/>
        </w:tabs>
        <w:ind w:left="1440" w:hanging="360"/>
      </w:pPr>
    </w:lvl>
    <w:lvl w:ilvl="2" w:tplc="1AF0CDFC" w:tentative="1">
      <w:start w:val="1"/>
      <w:numFmt w:val="decimal"/>
      <w:lvlText w:val="%3."/>
      <w:lvlJc w:val="left"/>
      <w:pPr>
        <w:tabs>
          <w:tab w:val="num" w:pos="2160"/>
        </w:tabs>
        <w:ind w:left="2160" w:hanging="360"/>
      </w:pPr>
    </w:lvl>
    <w:lvl w:ilvl="3" w:tplc="B2726AC8" w:tentative="1">
      <w:start w:val="1"/>
      <w:numFmt w:val="decimal"/>
      <w:lvlText w:val="%4."/>
      <w:lvlJc w:val="left"/>
      <w:pPr>
        <w:tabs>
          <w:tab w:val="num" w:pos="2880"/>
        </w:tabs>
        <w:ind w:left="2880" w:hanging="360"/>
      </w:pPr>
    </w:lvl>
    <w:lvl w:ilvl="4" w:tplc="106EB39C" w:tentative="1">
      <w:start w:val="1"/>
      <w:numFmt w:val="decimal"/>
      <w:lvlText w:val="%5."/>
      <w:lvlJc w:val="left"/>
      <w:pPr>
        <w:tabs>
          <w:tab w:val="num" w:pos="3600"/>
        </w:tabs>
        <w:ind w:left="3600" w:hanging="360"/>
      </w:pPr>
    </w:lvl>
    <w:lvl w:ilvl="5" w:tplc="0DBEB184" w:tentative="1">
      <w:start w:val="1"/>
      <w:numFmt w:val="decimal"/>
      <w:lvlText w:val="%6."/>
      <w:lvlJc w:val="left"/>
      <w:pPr>
        <w:tabs>
          <w:tab w:val="num" w:pos="4320"/>
        </w:tabs>
        <w:ind w:left="4320" w:hanging="360"/>
      </w:pPr>
    </w:lvl>
    <w:lvl w:ilvl="6" w:tplc="AAB6A4B4" w:tentative="1">
      <w:start w:val="1"/>
      <w:numFmt w:val="decimal"/>
      <w:lvlText w:val="%7."/>
      <w:lvlJc w:val="left"/>
      <w:pPr>
        <w:tabs>
          <w:tab w:val="num" w:pos="5040"/>
        </w:tabs>
        <w:ind w:left="5040" w:hanging="360"/>
      </w:pPr>
    </w:lvl>
    <w:lvl w:ilvl="7" w:tplc="2124C06C" w:tentative="1">
      <w:start w:val="1"/>
      <w:numFmt w:val="decimal"/>
      <w:lvlText w:val="%8."/>
      <w:lvlJc w:val="left"/>
      <w:pPr>
        <w:tabs>
          <w:tab w:val="num" w:pos="5760"/>
        </w:tabs>
        <w:ind w:left="5760" w:hanging="360"/>
      </w:pPr>
    </w:lvl>
    <w:lvl w:ilvl="8" w:tplc="6E58951C" w:tentative="1">
      <w:start w:val="1"/>
      <w:numFmt w:val="decimal"/>
      <w:lvlText w:val="%9."/>
      <w:lvlJc w:val="left"/>
      <w:pPr>
        <w:tabs>
          <w:tab w:val="num" w:pos="6480"/>
        </w:tabs>
        <w:ind w:left="6480" w:hanging="360"/>
      </w:pPr>
    </w:lvl>
  </w:abstractNum>
  <w:abstractNum w:abstractNumId="1">
    <w:nsid w:val="18082222"/>
    <w:multiLevelType w:val="multilevel"/>
    <w:tmpl w:val="6BBEC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3A0917"/>
    <w:multiLevelType w:val="multilevel"/>
    <w:tmpl w:val="EDE40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712C82"/>
    <w:multiLevelType w:val="hybridMultilevel"/>
    <w:tmpl w:val="50B0DE22"/>
    <w:lvl w:ilvl="0" w:tplc="5A5CF868">
      <w:start w:val="5"/>
      <w:numFmt w:val="lowerLetter"/>
      <w:lvlText w:val="%1."/>
      <w:lvlJc w:val="left"/>
      <w:pPr>
        <w:tabs>
          <w:tab w:val="num" w:pos="720"/>
        </w:tabs>
        <w:ind w:left="720" w:hanging="360"/>
      </w:pPr>
    </w:lvl>
    <w:lvl w:ilvl="1" w:tplc="31644586" w:tentative="1">
      <w:start w:val="1"/>
      <w:numFmt w:val="decimal"/>
      <w:lvlText w:val="%2."/>
      <w:lvlJc w:val="left"/>
      <w:pPr>
        <w:tabs>
          <w:tab w:val="num" w:pos="1440"/>
        </w:tabs>
        <w:ind w:left="1440" w:hanging="360"/>
      </w:pPr>
    </w:lvl>
    <w:lvl w:ilvl="2" w:tplc="AD4024F2" w:tentative="1">
      <w:start w:val="1"/>
      <w:numFmt w:val="decimal"/>
      <w:lvlText w:val="%3."/>
      <w:lvlJc w:val="left"/>
      <w:pPr>
        <w:tabs>
          <w:tab w:val="num" w:pos="2160"/>
        </w:tabs>
        <w:ind w:left="2160" w:hanging="360"/>
      </w:pPr>
    </w:lvl>
    <w:lvl w:ilvl="3" w:tplc="9E303E60" w:tentative="1">
      <w:start w:val="1"/>
      <w:numFmt w:val="decimal"/>
      <w:lvlText w:val="%4."/>
      <w:lvlJc w:val="left"/>
      <w:pPr>
        <w:tabs>
          <w:tab w:val="num" w:pos="2880"/>
        </w:tabs>
        <w:ind w:left="2880" w:hanging="360"/>
      </w:pPr>
    </w:lvl>
    <w:lvl w:ilvl="4" w:tplc="765E7E5E" w:tentative="1">
      <w:start w:val="1"/>
      <w:numFmt w:val="decimal"/>
      <w:lvlText w:val="%5."/>
      <w:lvlJc w:val="left"/>
      <w:pPr>
        <w:tabs>
          <w:tab w:val="num" w:pos="3600"/>
        </w:tabs>
        <w:ind w:left="3600" w:hanging="360"/>
      </w:pPr>
    </w:lvl>
    <w:lvl w:ilvl="5" w:tplc="7ABAC556" w:tentative="1">
      <w:start w:val="1"/>
      <w:numFmt w:val="decimal"/>
      <w:lvlText w:val="%6."/>
      <w:lvlJc w:val="left"/>
      <w:pPr>
        <w:tabs>
          <w:tab w:val="num" w:pos="4320"/>
        </w:tabs>
        <w:ind w:left="4320" w:hanging="360"/>
      </w:pPr>
    </w:lvl>
    <w:lvl w:ilvl="6" w:tplc="0238621E" w:tentative="1">
      <w:start w:val="1"/>
      <w:numFmt w:val="decimal"/>
      <w:lvlText w:val="%7."/>
      <w:lvlJc w:val="left"/>
      <w:pPr>
        <w:tabs>
          <w:tab w:val="num" w:pos="5040"/>
        </w:tabs>
        <w:ind w:left="5040" w:hanging="360"/>
      </w:pPr>
    </w:lvl>
    <w:lvl w:ilvl="7" w:tplc="705E2BD8" w:tentative="1">
      <w:start w:val="1"/>
      <w:numFmt w:val="decimal"/>
      <w:lvlText w:val="%8."/>
      <w:lvlJc w:val="left"/>
      <w:pPr>
        <w:tabs>
          <w:tab w:val="num" w:pos="5760"/>
        </w:tabs>
        <w:ind w:left="5760" w:hanging="360"/>
      </w:pPr>
    </w:lvl>
    <w:lvl w:ilvl="8" w:tplc="6C0A3624" w:tentative="1">
      <w:start w:val="1"/>
      <w:numFmt w:val="decimal"/>
      <w:lvlText w:val="%9."/>
      <w:lvlJc w:val="left"/>
      <w:pPr>
        <w:tabs>
          <w:tab w:val="num" w:pos="6480"/>
        </w:tabs>
        <w:ind w:left="6480" w:hanging="360"/>
      </w:pPr>
    </w:lvl>
  </w:abstractNum>
  <w:abstractNum w:abstractNumId="4">
    <w:nsid w:val="34C658F6"/>
    <w:multiLevelType w:val="multilevel"/>
    <w:tmpl w:val="331C41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A03012"/>
    <w:multiLevelType w:val="multilevel"/>
    <w:tmpl w:val="9CE0C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912027"/>
    <w:multiLevelType w:val="hybridMultilevel"/>
    <w:tmpl w:val="54826E42"/>
    <w:lvl w:ilvl="0" w:tplc="5DC6D43C">
      <w:start w:val="2"/>
      <w:numFmt w:val="lowerLetter"/>
      <w:lvlText w:val="%1."/>
      <w:lvlJc w:val="left"/>
      <w:pPr>
        <w:tabs>
          <w:tab w:val="num" w:pos="720"/>
        </w:tabs>
        <w:ind w:left="720" w:hanging="360"/>
      </w:pPr>
    </w:lvl>
    <w:lvl w:ilvl="1" w:tplc="9AAA011E" w:tentative="1">
      <w:start w:val="1"/>
      <w:numFmt w:val="decimal"/>
      <w:lvlText w:val="%2."/>
      <w:lvlJc w:val="left"/>
      <w:pPr>
        <w:tabs>
          <w:tab w:val="num" w:pos="1440"/>
        </w:tabs>
        <w:ind w:left="1440" w:hanging="360"/>
      </w:pPr>
    </w:lvl>
    <w:lvl w:ilvl="2" w:tplc="504E2854" w:tentative="1">
      <w:start w:val="1"/>
      <w:numFmt w:val="decimal"/>
      <w:lvlText w:val="%3."/>
      <w:lvlJc w:val="left"/>
      <w:pPr>
        <w:tabs>
          <w:tab w:val="num" w:pos="2160"/>
        </w:tabs>
        <w:ind w:left="2160" w:hanging="360"/>
      </w:pPr>
    </w:lvl>
    <w:lvl w:ilvl="3" w:tplc="92346FF8" w:tentative="1">
      <w:start w:val="1"/>
      <w:numFmt w:val="decimal"/>
      <w:lvlText w:val="%4."/>
      <w:lvlJc w:val="left"/>
      <w:pPr>
        <w:tabs>
          <w:tab w:val="num" w:pos="2880"/>
        </w:tabs>
        <w:ind w:left="2880" w:hanging="360"/>
      </w:pPr>
    </w:lvl>
    <w:lvl w:ilvl="4" w:tplc="DA2431AA" w:tentative="1">
      <w:start w:val="1"/>
      <w:numFmt w:val="decimal"/>
      <w:lvlText w:val="%5."/>
      <w:lvlJc w:val="left"/>
      <w:pPr>
        <w:tabs>
          <w:tab w:val="num" w:pos="3600"/>
        </w:tabs>
        <w:ind w:left="3600" w:hanging="360"/>
      </w:pPr>
    </w:lvl>
    <w:lvl w:ilvl="5" w:tplc="D45E94BE" w:tentative="1">
      <w:start w:val="1"/>
      <w:numFmt w:val="decimal"/>
      <w:lvlText w:val="%6."/>
      <w:lvlJc w:val="left"/>
      <w:pPr>
        <w:tabs>
          <w:tab w:val="num" w:pos="4320"/>
        </w:tabs>
        <w:ind w:left="4320" w:hanging="360"/>
      </w:pPr>
    </w:lvl>
    <w:lvl w:ilvl="6" w:tplc="A8B6BC54" w:tentative="1">
      <w:start w:val="1"/>
      <w:numFmt w:val="decimal"/>
      <w:lvlText w:val="%7."/>
      <w:lvlJc w:val="left"/>
      <w:pPr>
        <w:tabs>
          <w:tab w:val="num" w:pos="5040"/>
        </w:tabs>
        <w:ind w:left="5040" w:hanging="360"/>
      </w:pPr>
    </w:lvl>
    <w:lvl w:ilvl="7" w:tplc="653C17FC" w:tentative="1">
      <w:start w:val="1"/>
      <w:numFmt w:val="decimal"/>
      <w:lvlText w:val="%8."/>
      <w:lvlJc w:val="left"/>
      <w:pPr>
        <w:tabs>
          <w:tab w:val="num" w:pos="5760"/>
        </w:tabs>
        <w:ind w:left="5760" w:hanging="360"/>
      </w:pPr>
    </w:lvl>
    <w:lvl w:ilvl="8" w:tplc="84CAB256" w:tentative="1">
      <w:start w:val="1"/>
      <w:numFmt w:val="decimal"/>
      <w:lvlText w:val="%9."/>
      <w:lvlJc w:val="left"/>
      <w:pPr>
        <w:tabs>
          <w:tab w:val="num" w:pos="6480"/>
        </w:tabs>
        <w:ind w:left="6480" w:hanging="360"/>
      </w:pPr>
    </w:lvl>
  </w:abstractNum>
  <w:abstractNum w:abstractNumId="7">
    <w:nsid w:val="3E7F58C1"/>
    <w:multiLevelType w:val="multilevel"/>
    <w:tmpl w:val="51B0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EE648D"/>
    <w:multiLevelType w:val="multilevel"/>
    <w:tmpl w:val="8C46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D22A18"/>
    <w:multiLevelType w:val="hybridMultilevel"/>
    <w:tmpl w:val="3BA48586"/>
    <w:lvl w:ilvl="0" w:tplc="0596AF10">
      <w:start w:val="2"/>
      <w:numFmt w:val="lowerLetter"/>
      <w:lvlText w:val="%1."/>
      <w:lvlJc w:val="left"/>
      <w:pPr>
        <w:tabs>
          <w:tab w:val="num" w:pos="720"/>
        </w:tabs>
        <w:ind w:left="720" w:hanging="360"/>
      </w:pPr>
    </w:lvl>
    <w:lvl w:ilvl="1" w:tplc="9370B702" w:tentative="1">
      <w:start w:val="1"/>
      <w:numFmt w:val="decimal"/>
      <w:lvlText w:val="%2."/>
      <w:lvlJc w:val="left"/>
      <w:pPr>
        <w:tabs>
          <w:tab w:val="num" w:pos="1440"/>
        </w:tabs>
        <w:ind w:left="1440" w:hanging="360"/>
      </w:pPr>
    </w:lvl>
    <w:lvl w:ilvl="2" w:tplc="53AA05A0" w:tentative="1">
      <w:start w:val="1"/>
      <w:numFmt w:val="decimal"/>
      <w:lvlText w:val="%3."/>
      <w:lvlJc w:val="left"/>
      <w:pPr>
        <w:tabs>
          <w:tab w:val="num" w:pos="2160"/>
        </w:tabs>
        <w:ind w:left="2160" w:hanging="360"/>
      </w:pPr>
    </w:lvl>
    <w:lvl w:ilvl="3" w:tplc="2B70E8FC" w:tentative="1">
      <w:start w:val="1"/>
      <w:numFmt w:val="decimal"/>
      <w:lvlText w:val="%4."/>
      <w:lvlJc w:val="left"/>
      <w:pPr>
        <w:tabs>
          <w:tab w:val="num" w:pos="2880"/>
        </w:tabs>
        <w:ind w:left="2880" w:hanging="360"/>
      </w:pPr>
    </w:lvl>
    <w:lvl w:ilvl="4" w:tplc="BDD05D7C" w:tentative="1">
      <w:start w:val="1"/>
      <w:numFmt w:val="decimal"/>
      <w:lvlText w:val="%5."/>
      <w:lvlJc w:val="left"/>
      <w:pPr>
        <w:tabs>
          <w:tab w:val="num" w:pos="3600"/>
        </w:tabs>
        <w:ind w:left="3600" w:hanging="360"/>
      </w:pPr>
    </w:lvl>
    <w:lvl w:ilvl="5" w:tplc="EAF6A5F6" w:tentative="1">
      <w:start w:val="1"/>
      <w:numFmt w:val="decimal"/>
      <w:lvlText w:val="%6."/>
      <w:lvlJc w:val="left"/>
      <w:pPr>
        <w:tabs>
          <w:tab w:val="num" w:pos="4320"/>
        </w:tabs>
        <w:ind w:left="4320" w:hanging="360"/>
      </w:pPr>
    </w:lvl>
    <w:lvl w:ilvl="6" w:tplc="62A23A5A" w:tentative="1">
      <w:start w:val="1"/>
      <w:numFmt w:val="decimal"/>
      <w:lvlText w:val="%7."/>
      <w:lvlJc w:val="left"/>
      <w:pPr>
        <w:tabs>
          <w:tab w:val="num" w:pos="5040"/>
        </w:tabs>
        <w:ind w:left="5040" w:hanging="360"/>
      </w:pPr>
    </w:lvl>
    <w:lvl w:ilvl="7" w:tplc="1CA2D164" w:tentative="1">
      <w:start w:val="1"/>
      <w:numFmt w:val="decimal"/>
      <w:lvlText w:val="%8."/>
      <w:lvlJc w:val="left"/>
      <w:pPr>
        <w:tabs>
          <w:tab w:val="num" w:pos="5760"/>
        </w:tabs>
        <w:ind w:left="5760" w:hanging="360"/>
      </w:pPr>
    </w:lvl>
    <w:lvl w:ilvl="8" w:tplc="5FB4DBEE" w:tentative="1">
      <w:start w:val="1"/>
      <w:numFmt w:val="decimal"/>
      <w:lvlText w:val="%9."/>
      <w:lvlJc w:val="left"/>
      <w:pPr>
        <w:tabs>
          <w:tab w:val="num" w:pos="6480"/>
        </w:tabs>
        <w:ind w:left="6480" w:hanging="360"/>
      </w:pPr>
    </w:lvl>
  </w:abstractNum>
  <w:abstractNum w:abstractNumId="10">
    <w:nsid w:val="4B466EC5"/>
    <w:multiLevelType w:val="multilevel"/>
    <w:tmpl w:val="B1024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8087A05"/>
    <w:multiLevelType w:val="hybridMultilevel"/>
    <w:tmpl w:val="A33CB2E6"/>
    <w:lvl w:ilvl="0" w:tplc="BDA4E942">
      <w:start w:val="3"/>
      <w:numFmt w:val="lowerLetter"/>
      <w:lvlText w:val="%1."/>
      <w:lvlJc w:val="left"/>
      <w:pPr>
        <w:tabs>
          <w:tab w:val="num" w:pos="720"/>
        </w:tabs>
        <w:ind w:left="720" w:hanging="360"/>
      </w:pPr>
    </w:lvl>
    <w:lvl w:ilvl="1" w:tplc="2C96E58C" w:tentative="1">
      <w:start w:val="1"/>
      <w:numFmt w:val="decimal"/>
      <w:lvlText w:val="%2."/>
      <w:lvlJc w:val="left"/>
      <w:pPr>
        <w:tabs>
          <w:tab w:val="num" w:pos="1440"/>
        </w:tabs>
        <w:ind w:left="1440" w:hanging="360"/>
      </w:pPr>
    </w:lvl>
    <w:lvl w:ilvl="2" w:tplc="CFAED3AC" w:tentative="1">
      <w:start w:val="1"/>
      <w:numFmt w:val="decimal"/>
      <w:lvlText w:val="%3."/>
      <w:lvlJc w:val="left"/>
      <w:pPr>
        <w:tabs>
          <w:tab w:val="num" w:pos="2160"/>
        </w:tabs>
        <w:ind w:left="2160" w:hanging="360"/>
      </w:pPr>
    </w:lvl>
    <w:lvl w:ilvl="3" w:tplc="E83E147A" w:tentative="1">
      <w:start w:val="1"/>
      <w:numFmt w:val="decimal"/>
      <w:lvlText w:val="%4."/>
      <w:lvlJc w:val="left"/>
      <w:pPr>
        <w:tabs>
          <w:tab w:val="num" w:pos="2880"/>
        </w:tabs>
        <w:ind w:left="2880" w:hanging="360"/>
      </w:pPr>
    </w:lvl>
    <w:lvl w:ilvl="4" w:tplc="E7987558" w:tentative="1">
      <w:start w:val="1"/>
      <w:numFmt w:val="decimal"/>
      <w:lvlText w:val="%5."/>
      <w:lvlJc w:val="left"/>
      <w:pPr>
        <w:tabs>
          <w:tab w:val="num" w:pos="3600"/>
        </w:tabs>
        <w:ind w:left="3600" w:hanging="360"/>
      </w:pPr>
    </w:lvl>
    <w:lvl w:ilvl="5" w:tplc="52D41B36" w:tentative="1">
      <w:start w:val="1"/>
      <w:numFmt w:val="decimal"/>
      <w:lvlText w:val="%6."/>
      <w:lvlJc w:val="left"/>
      <w:pPr>
        <w:tabs>
          <w:tab w:val="num" w:pos="4320"/>
        </w:tabs>
        <w:ind w:left="4320" w:hanging="360"/>
      </w:pPr>
    </w:lvl>
    <w:lvl w:ilvl="6" w:tplc="6B2CFA26" w:tentative="1">
      <w:start w:val="1"/>
      <w:numFmt w:val="decimal"/>
      <w:lvlText w:val="%7."/>
      <w:lvlJc w:val="left"/>
      <w:pPr>
        <w:tabs>
          <w:tab w:val="num" w:pos="5040"/>
        </w:tabs>
        <w:ind w:left="5040" w:hanging="360"/>
      </w:pPr>
    </w:lvl>
    <w:lvl w:ilvl="7" w:tplc="14C2C44A" w:tentative="1">
      <w:start w:val="1"/>
      <w:numFmt w:val="decimal"/>
      <w:lvlText w:val="%8."/>
      <w:lvlJc w:val="left"/>
      <w:pPr>
        <w:tabs>
          <w:tab w:val="num" w:pos="5760"/>
        </w:tabs>
        <w:ind w:left="5760" w:hanging="360"/>
      </w:pPr>
    </w:lvl>
    <w:lvl w:ilvl="8" w:tplc="E1AAD598" w:tentative="1">
      <w:start w:val="1"/>
      <w:numFmt w:val="decimal"/>
      <w:lvlText w:val="%9."/>
      <w:lvlJc w:val="left"/>
      <w:pPr>
        <w:tabs>
          <w:tab w:val="num" w:pos="6480"/>
        </w:tabs>
        <w:ind w:left="6480" w:hanging="360"/>
      </w:pPr>
    </w:lvl>
  </w:abstractNum>
  <w:abstractNum w:abstractNumId="12">
    <w:nsid w:val="5B202802"/>
    <w:multiLevelType w:val="multilevel"/>
    <w:tmpl w:val="1796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012708"/>
    <w:multiLevelType w:val="hybridMultilevel"/>
    <w:tmpl w:val="306CE3E8"/>
    <w:lvl w:ilvl="0" w:tplc="D8ACF5B0">
      <w:start w:val="4"/>
      <w:numFmt w:val="lowerLetter"/>
      <w:lvlText w:val="%1."/>
      <w:lvlJc w:val="left"/>
      <w:pPr>
        <w:tabs>
          <w:tab w:val="num" w:pos="720"/>
        </w:tabs>
        <w:ind w:left="720" w:hanging="360"/>
      </w:pPr>
    </w:lvl>
    <w:lvl w:ilvl="1" w:tplc="23083E08" w:tentative="1">
      <w:start w:val="1"/>
      <w:numFmt w:val="decimal"/>
      <w:lvlText w:val="%2."/>
      <w:lvlJc w:val="left"/>
      <w:pPr>
        <w:tabs>
          <w:tab w:val="num" w:pos="1440"/>
        </w:tabs>
        <w:ind w:left="1440" w:hanging="360"/>
      </w:pPr>
    </w:lvl>
    <w:lvl w:ilvl="2" w:tplc="0826D388" w:tentative="1">
      <w:start w:val="1"/>
      <w:numFmt w:val="decimal"/>
      <w:lvlText w:val="%3."/>
      <w:lvlJc w:val="left"/>
      <w:pPr>
        <w:tabs>
          <w:tab w:val="num" w:pos="2160"/>
        </w:tabs>
        <w:ind w:left="2160" w:hanging="360"/>
      </w:pPr>
    </w:lvl>
    <w:lvl w:ilvl="3" w:tplc="83CEF434" w:tentative="1">
      <w:start w:val="1"/>
      <w:numFmt w:val="decimal"/>
      <w:lvlText w:val="%4."/>
      <w:lvlJc w:val="left"/>
      <w:pPr>
        <w:tabs>
          <w:tab w:val="num" w:pos="2880"/>
        </w:tabs>
        <w:ind w:left="2880" w:hanging="360"/>
      </w:pPr>
    </w:lvl>
    <w:lvl w:ilvl="4" w:tplc="2DD48074" w:tentative="1">
      <w:start w:val="1"/>
      <w:numFmt w:val="decimal"/>
      <w:lvlText w:val="%5."/>
      <w:lvlJc w:val="left"/>
      <w:pPr>
        <w:tabs>
          <w:tab w:val="num" w:pos="3600"/>
        </w:tabs>
        <w:ind w:left="3600" w:hanging="360"/>
      </w:pPr>
    </w:lvl>
    <w:lvl w:ilvl="5" w:tplc="5FD27C82" w:tentative="1">
      <w:start w:val="1"/>
      <w:numFmt w:val="decimal"/>
      <w:lvlText w:val="%6."/>
      <w:lvlJc w:val="left"/>
      <w:pPr>
        <w:tabs>
          <w:tab w:val="num" w:pos="4320"/>
        </w:tabs>
        <w:ind w:left="4320" w:hanging="360"/>
      </w:pPr>
    </w:lvl>
    <w:lvl w:ilvl="6" w:tplc="086EAB94" w:tentative="1">
      <w:start w:val="1"/>
      <w:numFmt w:val="decimal"/>
      <w:lvlText w:val="%7."/>
      <w:lvlJc w:val="left"/>
      <w:pPr>
        <w:tabs>
          <w:tab w:val="num" w:pos="5040"/>
        </w:tabs>
        <w:ind w:left="5040" w:hanging="360"/>
      </w:pPr>
    </w:lvl>
    <w:lvl w:ilvl="7" w:tplc="FDAA18E4" w:tentative="1">
      <w:start w:val="1"/>
      <w:numFmt w:val="decimal"/>
      <w:lvlText w:val="%8."/>
      <w:lvlJc w:val="left"/>
      <w:pPr>
        <w:tabs>
          <w:tab w:val="num" w:pos="5760"/>
        </w:tabs>
        <w:ind w:left="5760" w:hanging="360"/>
      </w:pPr>
    </w:lvl>
    <w:lvl w:ilvl="8" w:tplc="4BD0F59A" w:tentative="1">
      <w:start w:val="1"/>
      <w:numFmt w:val="decimal"/>
      <w:lvlText w:val="%9."/>
      <w:lvlJc w:val="left"/>
      <w:pPr>
        <w:tabs>
          <w:tab w:val="num" w:pos="6480"/>
        </w:tabs>
        <w:ind w:left="6480" w:hanging="360"/>
      </w:pPr>
    </w:lvl>
  </w:abstractNum>
  <w:abstractNum w:abstractNumId="14">
    <w:nsid w:val="62233594"/>
    <w:multiLevelType w:val="multilevel"/>
    <w:tmpl w:val="49B4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3C5424"/>
    <w:multiLevelType w:val="multilevel"/>
    <w:tmpl w:val="4A7E3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951426"/>
    <w:multiLevelType w:val="hybridMultilevel"/>
    <w:tmpl w:val="73F4F152"/>
    <w:lvl w:ilvl="0" w:tplc="98826110">
      <w:start w:val="3"/>
      <w:numFmt w:val="lowerLetter"/>
      <w:lvlText w:val="%1."/>
      <w:lvlJc w:val="left"/>
      <w:pPr>
        <w:tabs>
          <w:tab w:val="num" w:pos="720"/>
        </w:tabs>
        <w:ind w:left="720" w:hanging="360"/>
      </w:pPr>
    </w:lvl>
    <w:lvl w:ilvl="1" w:tplc="F828C3FA" w:tentative="1">
      <w:start w:val="1"/>
      <w:numFmt w:val="decimal"/>
      <w:lvlText w:val="%2."/>
      <w:lvlJc w:val="left"/>
      <w:pPr>
        <w:tabs>
          <w:tab w:val="num" w:pos="1440"/>
        </w:tabs>
        <w:ind w:left="1440" w:hanging="360"/>
      </w:pPr>
    </w:lvl>
    <w:lvl w:ilvl="2" w:tplc="FAA8B2C2" w:tentative="1">
      <w:start w:val="1"/>
      <w:numFmt w:val="decimal"/>
      <w:lvlText w:val="%3."/>
      <w:lvlJc w:val="left"/>
      <w:pPr>
        <w:tabs>
          <w:tab w:val="num" w:pos="2160"/>
        </w:tabs>
        <w:ind w:left="2160" w:hanging="360"/>
      </w:pPr>
    </w:lvl>
    <w:lvl w:ilvl="3" w:tplc="6E16C160" w:tentative="1">
      <w:start w:val="1"/>
      <w:numFmt w:val="decimal"/>
      <w:lvlText w:val="%4."/>
      <w:lvlJc w:val="left"/>
      <w:pPr>
        <w:tabs>
          <w:tab w:val="num" w:pos="2880"/>
        </w:tabs>
        <w:ind w:left="2880" w:hanging="360"/>
      </w:pPr>
    </w:lvl>
    <w:lvl w:ilvl="4" w:tplc="38BA90FE" w:tentative="1">
      <w:start w:val="1"/>
      <w:numFmt w:val="decimal"/>
      <w:lvlText w:val="%5."/>
      <w:lvlJc w:val="left"/>
      <w:pPr>
        <w:tabs>
          <w:tab w:val="num" w:pos="3600"/>
        </w:tabs>
        <w:ind w:left="3600" w:hanging="360"/>
      </w:pPr>
    </w:lvl>
    <w:lvl w:ilvl="5" w:tplc="FAEA8C48" w:tentative="1">
      <w:start w:val="1"/>
      <w:numFmt w:val="decimal"/>
      <w:lvlText w:val="%6."/>
      <w:lvlJc w:val="left"/>
      <w:pPr>
        <w:tabs>
          <w:tab w:val="num" w:pos="4320"/>
        </w:tabs>
        <w:ind w:left="4320" w:hanging="360"/>
      </w:pPr>
    </w:lvl>
    <w:lvl w:ilvl="6" w:tplc="110EC35A" w:tentative="1">
      <w:start w:val="1"/>
      <w:numFmt w:val="decimal"/>
      <w:lvlText w:val="%7."/>
      <w:lvlJc w:val="left"/>
      <w:pPr>
        <w:tabs>
          <w:tab w:val="num" w:pos="5040"/>
        </w:tabs>
        <w:ind w:left="5040" w:hanging="360"/>
      </w:pPr>
    </w:lvl>
    <w:lvl w:ilvl="7" w:tplc="0EF29B9E" w:tentative="1">
      <w:start w:val="1"/>
      <w:numFmt w:val="decimal"/>
      <w:lvlText w:val="%8."/>
      <w:lvlJc w:val="left"/>
      <w:pPr>
        <w:tabs>
          <w:tab w:val="num" w:pos="5760"/>
        </w:tabs>
        <w:ind w:left="5760" w:hanging="360"/>
      </w:pPr>
    </w:lvl>
    <w:lvl w:ilvl="8" w:tplc="7C6CCF10" w:tentative="1">
      <w:start w:val="1"/>
      <w:numFmt w:val="decimal"/>
      <w:lvlText w:val="%9."/>
      <w:lvlJc w:val="left"/>
      <w:pPr>
        <w:tabs>
          <w:tab w:val="num" w:pos="6480"/>
        </w:tabs>
        <w:ind w:left="6480" w:hanging="360"/>
      </w:pPr>
    </w:lvl>
  </w:abstractNum>
  <w:abstractNum w:abstractNumId="17">
    <w:nsid w:val="7A770841"/>
    <w:multiLevelType w:val="multilevel"/>
    <w:tmpl w:val="A7A01E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7"/>
  </w:num>
  <w:num w:numId="4">
    <w:abstractNumId w:val="14"/>
  </w:num>
  <w:num w:numId="5">
    <w:abstractNumId w:val="12"/>
  </w:num>
  <w:num w:numId="6">
    <w:abstractNumId w:val="4"/>
    <w:lvlOverride w:ilvl="0">
      <w:lvl w:ilvl="0">
        <w:numFmt w:val="decimal"/>
        <w:lvlText w:val="%1."/>
        <w:lvlJc w:val="left"/>
      </w:lvl>
    </w:lvlOverride>
  </w:num>
  <w:num w:numId="7">
    <w:abstractNumId w:val="1"/>
    <w:lvlOverride w:ilvl="0">
      <w:lvl w:ilvl="0">
        <w:numFmt w:val="lowerLetter"/>
        <w:lvlText w:val="%1."/>
        <w:lvlJc w:val="left"/>
      </w:lvl>
    </w:lvlOverride>
  </w:num>
  <w:num w:numId="8">
    <w:abstractNumId w:val="9"/>
  </w:num>
  <w:num w:numId="9">
    <w:abstractNumId w:val="11"/>
  </w:num>
  <w:num w:numId="10">
    <w:abstractNumId w:val="13"/>
  </w:num>
  <w:num w:numId="11">
    <w:abstractNumId w:val="3"/>
  </w:num>
  <w:num w:numId="12">
    <w:abstractNumId w:val="5"/>
    <w:lvlOverride w:ilvl="0">
      <w:lvl w:ilvl="0">
        <w:numFmt w:val="decimal"/>
        <w:lvlText w:val="%1."/>
        <w:lvlJc w:val="left"/>
      </w:lvl>
    </w:lvlOverride>
  </w:num>
  <w:num w:numId="13">
    <w:abstractNumId w:val="15"/>
    <w:lvlOverride w:ilvl="0">
      <w:lvl w:ilvl="0">
        <w:numFmt w:val="lowerLetter"/>
        <w:lvlText w:val="%1."/>
        <w:lvlJc w:val="left"/>
      </w:lvl>
    </w:lvlOverride>
  </w:num>
  <w:num w:numId="14">
    <w:abstractNumId w:val="0"/>
  </w:num>
  <w:num w:numId="15">
    <w:abstractNumId w:val="17"/>
    <w:lvlOverride w:ilvl="0">
      <w:lvl w:ilvl="0">
        <w:numFmt w:val="decimal"/>
        <w:lvlText w:val="%1."/>
        <w:lvlJc w:val="left"/>
      </w:lvl>
    </w:lvlOverride>
  </w:num>
  <w:num w:numId="16">
    <w:abstractNumId w:val="10"/>
    <w:lvlOverride w:ilvl="0">
      <w:lvl w:ilvl="0">
        <w:numFmt w:val="lowerLetter"/>
        <w:lvlText w:val="%1."/>
        <w:lvlJc w:val="left"/>
      </w:lvl>
    </w:lvlOverride>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7A1"/>
    <w:rsid w:val="000D568F"/>
    <w:rsid w:val="007812D2"/>
    <w:rsid w:val="008626A2"/>
    <w:rsid w:val="00BB7641"/>
    <w:rsid w:val="00BD17A1"/>
    <w:rsid w:val="00F04C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B76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B7641"/>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BD17A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B76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B7641"/>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BD17A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25559">
      <w:bodyDiv w:val="1"/>
      <w:marLeft w:val="0"/>
      <w:marRight w:val="0"/>
      <w:marTop w:val="0"/>
      <w:marBottom w:val="0"/>
      <w:divBdr>
        <w:top w:val="none" w:sz="0" w:space="0" w:color="auto"/>
        <w:left w:val="none" w:sz="0" w:space="0" w:color="auto"/>
        <w:bottom w:val="none" w:sz="0" w:space="0" w:color="auto"/>
        <w:right w:val="none" w:sz="0" w:space="0" w:color="auto"/>
      </w:divBdr>
      <w:divsChild>
        <w:div w:id="35592721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Robles</dc:creator>
  <cp:lastModifiedBy>Familia Robles</cp:lastModifiedBy>
  <cp:revision>2</cp:revision>
  <dcterms:created xsi:type="dcterms:W3CDTF">2021-08-26T19:03:00Z</dcterms:created>
  <dcterms:modified xsi:type="dcterms:W3CDTF">2021-08-26T19:03:00Z</dcterms:modified>
</cp:coreProperties>
</file>