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A2026E" w14:textId="77777777" w:rsidR="00BC0560" w:rsidRPr="00BC0560" w:rsidRDefault="00BC0560" w:rsidP="00BC0560">
      <w:pPr>
        <w:spacing w:after="0" w:line="240" w:lineRule="auto"/>
        <w:jc w:val="center"/>
        <w:rPr>
          <w:rFonts w:ascii="Times New Roman" w:eastAsia="Times New Roman" w:hAnsi="Times New Roman" w:cs="Times New Roman"/>
          <w:sz w:val="24"/>
          <w:szCs w:val="24"/>
          <w:lang w:eastAsia="es-CO"/>
        </w:rPr>
      </w:pPr>
      <w:r w:rsidRPr="00BC0560">
        <w:rPr>
          <w:rFonts w:ascii="Arial" w:eastAsia="Times New Roman" w:hAnsi="Arial" w:cs="Arial"/>
          <w:b/>
          <w:bCs/>
          <w:color w:val="000000"/>
          <w:lang w:eastAsia="es-CO"/>
        </w:rPr>
        <w:t>ESCUELA JUDICIAL RODRIGO LARA BONILLA</w:t>
      </w:r>
    </w:p>
    <w:p w14:paraId="0E440025" w14:textId="77777777" w:rsidR="00BC0560" w:rsidRPr="00BC0560" w:rsidRDefault="00BC0560" w:rsidP="00BC0560">
      <w:pPr>
        <w:spacing w:after="0" w:line="240" w:lineRule="auto"/>
        <w:jc w:val="center"/>
        <w:rPr>
          <w:rFonts w:ascii="Times New Roman" w:eastAsia="Times New Roman" w:hAnsi="Times New Roman" w:cs="Times New Roman"/>
          <w:sz w:val="24"/>
          <w:szCs w:val="24"/>
          <w:lang w:eastAsia="es-CO"/>
        </w:rPr>
      </w:pPr>
      <w:r w:rsidRPr="00BC0560">
        <w:rPr>
          <w:rFonts w:ascii="Arial" w:eastAsia="Times New Roman" w:hAnsi="Arial" w:cs="Arial"/>
          <w:b/>
          <w:bCs/>
          <w:color w:val="000000"/>
          <w:lang w:eastAsia="es-CO"/>
        </w:rPr>
        <w:t>LISTA DE CHEQUEO – ADOPCIÓN DE MEDIDAS PARA DICTAR SENTENCIA ANTICIPADA </w:t>
      </w:r>
    </w:p>
    <w:p w14:paraId="61C6382C"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0C65DAB0" w14:textId="77777777" w:rsidR="00BC0560" w:rsidRPr="00BC0560" w:rsidRDefault="00BC0560" w:rsidP="00BC0560">
      <w:pPr>
        <w:pBdr>
          <w:top w:val="dashed" w:sz="4" w:space="1" w:color="000000"/>
          <w:left w:val="dashed" w:sz="4" w:space="4"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b/>
          <w:bCs/>
          <w:color w:val="000000"/>
          <w:lang w:eastAsia="es-CO"/>
        </w:rPr>
        <w:t>DISPOSICIONES A APLICAR </w:t>
      </w:r>
    </w:p>
    <w:p w14:paraId="3A83383A" w14:textId="77777777" w:rsidR="00BC0560" w:rsidRPr="00BC0560" w:rsidRDefault="00BC0560" w:rsidP="00BC0560">
      <w:pPr>
        <w:pBdr>
          <w:left w:val="dashed" w:sz="4" w:space="4"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t> </w:t>
      </w:r>
    </w:p>
    <w:p w14:paraId="5710DBF1" w14:textId="77777777" w:rsidR="00BC0560" w:rsidRPr="00BC0560" w:rsidRDefault="00BC0560" w:rsidP="00BC0560">
      <w:pPr>
        <w:pBdr>
          <w:left w:val="dashed" w:sz="4" w:space="4"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Artículo 38 L. 2080 de 2021 (Parágrafo 2° del artículo 175 del CPACA)</w:t>
      </w:r>
    </w:p>
    <w:p w14:paraId="3CD28258" w14:textId="77777777" w:rsidR="00BC0560" w:rsidRPr="00BC0560" w:rsidRDefault="00BC0560" w:rsidP="00BC0560">
      <w:pPr>
        <w:pBdr>
          <w:left w:val="dashed" w:sz="4" w:space="4" w:color="000000"/>
          <w:bottom w:val="dashed" w:sz="4" w:space="1"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Artículo 42 L. 2080 de 2021 (adiciona 182A al CPACA)</w:t>
      </w:r>
    </w:p>
    <w:p w14:paraId="72DF42FB"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7A198F4A" w14:textId="3898758E" w:rsidR="009132E2" w:rsidRPr="007E6EE0" w:rsidRDefault="009132E2" w:rsidP="00934295">
      <w:pPr>
        <w:pStyle w:val="Sinespaciado"/>
        <w:ind w:left="-1134"/>
        <w:jc w:val="both"/>
        <w:rPr>
          <w:rFonts w:ascii="Tahoma" w:hAnsi="Tahoma" w:cs="Tahoma"/>
          <w:sz w:val="24"/>
          <w:szCs w:val="24"/>
          <w:lang w:val="es-MX"/>
        </w:rPr>
      </w:pPr>
      <w:r w:rsidRPr="007E6EE0">
        <w:rPr>
          <w:rFonts w:ascii="Tahoma" w:eastAsia="Calibri" w:hAnsi="Tahoma" w:cs="Tahoma"/>
          <w:sz w:val="24"/>
          <w:szCs w:val="24"/>
          <w:lang w:val="es-MX"/>
        </w:rPr>
        <w:t>Elaborada por:</w:t>
      </w:r>
      <w:r>
        <w:rPr>
          <w:rFonts w:ascii="Tahoma" w:eastAsia="Calibri" w:hAnsi="Tahoma" w:cs="Tahoma"/>
          <w:sz w:val="24"/>
          <w:szCs w:val="24"/>
          <w:lang w:val="es-MX"/>
        </w:rPr>
        <w:t xml:space="preserve"> </w:t>
      </w:r>
      <w:r w:rsidR="006C7B8F" w:rsidRPr="007B5DA6">
        <w:rPr>
          <w:rFonts w:ascii="Tahoma" w:eastAsia="Calibri" w:hAnsi="Tahoma" w:cs="Tahoma"/>
          <w:b/>
          <w:color w:val="FF0000"/>
          <w:sz w:val="24"/>
          <w:szCs w:val="24"/>
          <w:lang w:val="es-MX"/>
        </w:rPr>
        <w:t>MARÍA ELENA GONZÁLEZ HERNÁNDEZ</w:t>
      </w:r>
    </w:p>
    <w:p w14:paraId="419B10AE" w14:textId="5368485B" w:rsidR="009132E2" w:rsidRPr="007B5DA6" w:rsidRDefault="009132E2" w:rsidP="00934295">
      <w:pPr>
        <w:pStyle w:val="Sinespaciado"/>
        <w:ind w:left="-1134"/>
        <w:jc w:val="both"/>
        <w:rPr>
          <w:rFonts w:ascii="Tahoma" w:hAnsi="Tahoma" w:cs="Tahoma"/>
          <w:b/>
          <w:sz w:val="24"/>
          <w:szCs w:val="24"/>
          <w:lang w:val="es-MX"/>
        </w:rPr>
      </w:pPr>
      <w:r w:rsidRPr="007E6EE0">
        <w:rPr>
          <w:rFonts w:ascii="Tahoma" w:hAnsi="Tahoma" w:cs="Tahoma"/>
          <w:sz w:val="24"/>
          <w:szCs w:val="24"/>
          <w:lang w:val="es-MX"/>
        </w:rPr>
        <w:t xml:space="preserve">Fecha:   </w:t>
      </w:r>
      <w:r w:rsidR="006C7B8F" w:rsidRPr="006C7B8F">
        <w:rPr>
          <w:rFonts w:ascii="Tahoma" w:hAnsi="Tahoma" w:cs="Tahoma"/>
          <w:color w:val="FF0000"/>
          <w:sz w:val="24"/>
          <w:szCs w:val="24"/>
          <w:lang w:val="es-MX"/>
        </w:rPr>
        <w:t>29</w:t>
      </w:r>
      <w:r w:rsidRPr="006C7B8F">
        <w:rPr>
          <w:rFonts w:ascii="Tahoma" w:hAnsi="Tahoma" w:cs="Tahoma"/>
          <w:color w:val="FF0000"/>
          <w:sz w:val="24"/>
          <w:szCs w:val="24"/>
          <w:lang w:val="es-MX"/>
        </w:rPr>
        <w:t>/08/2021</w:t>
      </w:r>
      <w:bookmarkStart w:id="0" w:name="_GoBack"/>
      <w:bookmarkEnd w:id="0"/>
    </w:p>
    <w:p w14:paraId="74DBB45B" w14:textId="13EE60DA" w:rsidR="009132E2" w:rsidRPr="007E6EE0" w:rsidRDefault="009132E2" w:rsidP="00934295">
      <w:pPr>
        <w:pStyle w:val="Sinespaciado"/>
        <w:ind w:left="-1134"/>
        <w:jc w:val="both"/>
        <w:rPr>
          <w:rFonts w:ascii="Tahoma" w:hAnsi="Tahoma" w:cs="Tahoma"/>
          <w:sz w:val="24"/>
          <w:szCs w:val="24"/>
          <w:lang w:val="es-MX"/>
        </w:rPr>
      </w:pPr>
      <w:r w:rsidRPr="007E6EE0">
        <w:rPr>
          <w:rFonts w:ascii="Tahoma" w:hAnsi="Tahoma" w:cs="Tahoma"/>
          <w:sz w:val="24"/>
          <w:szCs w:val="24"/>
          <w:lang w:val="es-MX"/>
        </w:rPr>
        <w:t xml:space="preserve">Medio de control: </w:t>
      </w:r>
      <w:r w:rsidR="006C7B8F" w:rsidRPr="006C7B8F">
        <w:rPr>
          <w:rFonts w:ascii="Tahoma" w:hAnsi="Tahoma" w:cs="Tahoma"/>
          <w:color w:val="FF0000"/>
          <w:sz w:val="24"/>
          <w:szCs w:val="24"/>
          <w:lang w:val="es-MX"/>
        </w:rPr>
        <w:t>NULIDAD Y RESTABLECIMIENTO DEL DERECHO</w:t>
      </w:r>
    </w:p>
    <w:p w14:paraId="2BA2FC66" w14:textId="511478DF" w:rsidR="009132E2" w:rsidRPr="007E6EE0" w:rsidRDefault="009132E2" w:rsidP="00934295">
      <w:pPr>
        <w:pStyle w:val="Sinespaciado"/>
        <w:ind w:left="-1134"/>
        <w:jc w:val="both"/>
        <w:rPr>
          <w:rFonts w:ascii="Tahoma" w:hAnsi="Tahoma" w:cs="Tahoma"/>
          <w:sz w:val="24"/>
          <w:szCs w:val="24"/>
          <w:lang w:val="es-MX"/>
        </w:rPr>
      </w:pPr>
      <w:r w:rsidRPr="007E6EE0">
        <w:rPr>
          <w:rFonts w:ascii="Tahoma" w:hAnsi="Tahoma" w:cs="Tahoma"/>
          <w:sz w:val="24"/>
          <w:szCs w:val="24"/>
          <w:lang w:val="es-MX"/>
        </w:rPr>
        <w:t>Demandante:</w:t>
      </w:r>
      <w:r w:rsidR="006C7B8F">
        <w:rPr>
          <w:rFonts w:ascii="Tahoma" w:hAnsi="Tahoma" w:cs="Tahoma"/>
          <w:sz w:val="24"/>
          <w:szCs w:val="24"/>
          <w:lang w:val="es-MX"/>
        </w:rPr>
        <w:t xml:space="preserve"> </w:t>
      </w:r>
      <w:r w:rsidR="006C7B8F" w:rsidRPr="006C7B8F">
        <w:rPr>
          <w:rFonts w:ascii="Tahoma" w:hAnsi="Tahoma" w:cs="Tahoma"/>
          <w:color w:val="FF0000"/>
          <w:sz w:val="24"/>
          <w:szCs w:val="24"/>
          <w:lang w:val="es-MX"/>
        </w:rPr>
        <w:t>MARÍA NELA HERNÁNDEZ PEÑARANDA</w:t>
      </w:r>
    </w:p>
    <w:p w14:paraId="26B999EA" w14:textId="2EF81E04" w:rsidR="009132E2" w:rsidRDefault="009132E2" w:rsidP="00934295">
      <w:pPr>
        <w:pStyle w:val="Sinespaciado"/>
        <w:ind w:left="-1134"/>
        <w:jc w:val="both"/>
        <w:rPr>
          <w:rFonts w:ascii="Tahoma" w:hAnsi="Tahoma" w:cs="Tahoma"/>
          <w:sz w:val="24"/>
          <w:szCs w:val="24"/>
          <w:lang w:val="es-MX"/>
        </w:rPr>
      </w:pPr>
      <w:r w:rsidRPr="007E6EE0">
        <w:rPr>
          <w:rFonts w:ascii="Tahoma" w:hAnsi="Tahoma" w:cs="Tahoma"/>
          <w:sz w:val="24"/>
          <w:szCs w:val="24"/>
          <w:lang w:val="es-MX"/>
        </w:rPr>
        <w:t>Demandado:</w:t>
      </w:r>
      <w:r>
        <w:rPr>
          <w:rFonts w:ascii="Tahoma" w:hAnsi="Tahoma" w:cs="Tahoma"/>
          <w:sz w:val="24"/>
          <w:szCs w:val="24"/>
          <w:lang w:val="es-MX"/>
        </w:rPr>
        <w:t xml:space="preserve"> </w:t>
      </w:r>
      <w:r w:rsidR="006C7B8F">
        <w:rPr>
          <w:rFonts w:ascii="Tahoma" w:hAnsi="Tahoma" w:cs="Tahoma"/>
          <w:color w:val="FF0000"/>
          <w:sz w:val="24"/>
          <w:szCs w:val="24"/>
          <w:lang w:val="es-MX"/>
        </w:rPr>
        <w:t xml:space="preserve">NACIÓN </w:t>
      </w:r>
      <w:r w:rsidR="007B5DA6">
        <w:rPr>
          <w:rFonts w:ascii="Tahoma" w:hAnsi="Tahoma" w:cs="Tahoma"/>
          <w:color w:val="FF0000"/>
          <w:sz w:val="24"/>
          <w:szCs w:val="24"/>
          <w:lang w:val="es-MX"/>
        </w:rPr>
        <w:t xml:space="preserve">– RAMA JUDICIAL – DIRECCIÓN EJECUTIVA SECCIONAL DE ADMINISTRACIÓN JUDICIAL </w:t>
      </w:r>
    </w:p>
    <w:p w14:paraId="39527D13" w14:textId="53E6D773" w:rsidR="009132E2" w:rsidRPr="007E6EE0" w:rsidRDefault="009132E2" w:rsidP="00934295">
      <w:pPr>
        <w:pStyle w:val="Sinespaciado"/>
        <w:ind w:left="-1134"/>
        <w:jc w:val="both"/>
        <w:rPr>
          <w:rFonts w:ascii="Tahoma" w:hAnsi="Tahoma" w:cs="Tahoma"/>
          <w:sz w:val="24"/>
          <w:szCs w:val="24"/>
          <w:lang w:val="es-MX"/>
        </w:rPr>
      </w:pPr>
      <w:r>
        <w:rPr>
          <w:rFonts w:ascii="Tahoma" w:hAnsi="Tahoma" w:cs="Tahoma"/>
          <w:sz w:val="24"/>
          <w:szCs w:val="24"/>
          <w:lang w:val="es-MX"/>
        </w:rPr>
        <w:t xml:space="preserve">Radicado. </w:t>
      </w:r>
      <w:r w:rsidR="006C7B8F" w:rsidRPr="006C7B8F">
        <w:rPr>
          <w:rFonts w:ascii="Tahoma" w:hAnsi="Tahoma" w:cs="Tahoma"/>
          <w:color w:val="FF0000"/>
          <w:sz w:val="24"/>
          <w:szCs w:val="24"/>
          <w:lang w:val="es-MX"/>
        </w:rPr>
        <w:t>20-001-23-33-000-20</w:t>
      </w:r>
      <w:r w:rsidR="006C7B8F">
        <w:rPr>
          <w:rFonts w:ascii="Tahoma" w:hAnsi="Tahoma" w:cs="Tahoma"/>
          <w:color w:val="FF0000"/>
          <w:sz w:val="24"/>
          <w:szCs w:val="24"/>
          <w:lang w:val="es-MX"/>
        </w:rPr>
        <w:t>19</w:t>
      </w:r>
      <w:r w:rsidR="006C7B8F" w:rsidRPr="006C7B8F">
        <w:rPr>
          <w:rFonts w:ascii="Tahoma" w:hAnsi="Tahoma" w:cs="Tahoma"/>
          <w:color w:val="FF0000"/>
          <w:sz w:val="24"/>
          <w:szCs w:val="24"/>
          <w:lang w:val="es-MX"/>
        </w:rPr>
        <w:t>-00123-00</w:t>
      </w:r>
    </w:p>
    <w:p w14:paraId="2C951E4A" w14:textId="77777777" w:rsidR="00BC0560" w:rsidRPr="00BC0560" w:rsidRDefault="00BC0560" w:rsidP="00BC0560">
      <w:pPr>
        <w:spacing w:after="240" w:line="240" w:lineRule="auto"/>
        <w:rPr>
          <w:rFonts w:ascii="Times New Roman" w:eastAsia="Times New Roman" w:hAnsi="Times New Roman" w:cs="Times New Roman"/>
          <w:sz w:val="24"/>
          <w:szCs w:val="24"/>
          <w:lang w:eastAsia="es-CO"/>
        </w:rPr>
      </w:pPr>
    </w:p>
    <w:tbl>
      <w:tblPr>
        <w:tblW w:w="0" w:type="auto"/>
        <w:tblCellMar>
          <w:top w:w="15" w:type="dxa"/>
          <w:left w:w="15" w:type="dxa"/>
          <w:bottom w:w="15" w:type="dxa"/>
          <w:right w:w="15" w:type="dxa"/>
        </w:tblCellMar>
        <w:tblLook w:val="04A0" w:firstRow="1" w:lastRow="0" w:firstColumn="1" w:lastColumn="0" w:noHBand="0" w:noVBand="1"/>
      </w:tblPr>
      <w:tblGrid>
        <w:gridCol w:w="8828"/>
      </w:tblGrid>
      <w:tr w:rsidR="00BC0560" w:rsidRPr="00BC0560" w14:paraId="4FBBDBAC" w14:textId="77777777"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B7D54C" w14:textId="77777777" w:rsidR="00BC0560" w:rsidRPr="00BC0560" w:rsidRDefault="00BC0560" w:rsidP="00BC0560">
            <w:pPr>
              <w:spacing w:after="0" w:line="240" w:lineRule="auto"/>
              <w:ind w:left="27"/>
              <w:rPr>
                <w:rFonts w:ascii="Times New Roman" w:eastAsia="Times New Roman" w:hAnsi="Times New Roman" w:cs="Times New Roman"/>
                <w:sz w:val="24"/>
                <w:szCs w:val="24"/>
                <w:lang w:eastAsia="es-CO"/>
              </w:rPr>
            </w:pPr>
            <w:r w:rsidRPr="00BC0560">
              <w:rPr>
                <w:rFonts w:ascii="Arial" w:eastAsia="Times New Roman" w:hAnsi="Arial" w:cs="Arial"/>
                <w:b/>
                <w:bCs/>
                <w:color w:val="000000"/>
                <w:lang w:eastAsia="es-CO"/>
              </w:rPr>
              <w:t>VERIFICACIÓN DE REGLAS PROCESALES PARA EMISIÓN DE SENTENCIA ANTICIPADA</w:t>
            </w:r>
          </w:p>
          <w:p w14:paraId="7A7EAB55"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687FDD47" w14:textId="77777777"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Verifique que el término de traslado de la demanda se encuentra vencido y que no hay excepciones previas que resolver o no se advierta el incumplimiento de requisitos de procedibilidad.</w:t>
            </w:r>
          </w:p>
          <w:p w14:paraId="0C58E14F"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48C8587C"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(Arts. 172, 175, 199 del CPACA)</w:t>
            </w:r>
          </w:p>
          <w:p w14:paraId="48F75D25" w14:textId="77777777" w:rsidR="00BC0560" w:rsidRDefault="00BC0560" w:rsidP="00BC0560">
            <w:pPr>
              <w:spacing w:after="240" w:line="240" w:lineRule="auto"/>
              <w:rPr>
                <w:rFonts w:ascii="Times New Roman" w:eastAsia="Times New Roman" w:hAnsi="Times New Roman" w:cs="Times New Roman"/>
                <w:sz w:val="24"/>
                <w:szCs w:val="24"/>
                <w:lang w:eastAsia="es-CO"/>
              </w:rPr>
            </w:pPr>
          </w:p>
          <w:p w14:paraId="54BD34F3" w14:textId="439EF95F" w:rsidR="00B530D5" w:rsidRPr="00BC0560" w:rsidRDefault="00B530D5" w:rsidP="00934295">
            <w:pPr>
              <w:spacing w:after="240" w:line="240" w:lineRule="auto"/>
              <w:jc w:val="both"/>
              <w:rPr>
                <w:rFonts w:ascii="Times New Roman" w:eastAsia="Times New Roman" w:hAnsi="Times New Roman" w:cs="Times New Roman"/>
                <w:b/>
                <w:sz w:val="24"/>
                <w:szCs w:val="24"/>
                <w:lang w:eastAsia="es-CO"/>
              </w:rPr>
            </w:pPr>
            <w:r>
              <w:rPr>
                <w:rFonts w:ascii="Times New Roman" w:eastAsia="Times New Roman" w:hAnsi="Times New Roman" w:cs="Times New Roman"/>
                <w:sz w:val="24"/>
                <w:szCs w:val="24"/>
                <w:lang w:eastAsia="es-CO"/>
              </w:rPr>
              <w:t>R</w:t>
            </w:r>
            <w:r w:rsidRPr="00D454B2">
              <w:rPr>
                <w:rFonts w:ascii="Times New Roman" w:eastAsia="Times New Roman" w:hAnsi="Times New Roman" w:cs="Times New Roman"/>
                <w:b/>
                <w:sz w:val="24"/>
                <w:szCs w:val="24"/>
                <w:lang w:eastAsia="es-CO"/>
              </w:rPr>
              <w:t xml:space="preserve">// </w:t>
            </w:r>
            <w:r w:rsidR="00934295" w:rsidRPr="00934295">
              <w:rPr>
                <w:rFonts w:ascii="Tahoma" w:eastAsia="Times New Roman" w:hAnsi="Tahoma" w:cs="Tahoma"/>
                <w:color w:val="FF0000"/>
                <w:sz w:val="24"/>
                <w:szCs w:val="24"/>
                <w:lang w:eastAsia="es-CO"/>
              </w:rPr>
              <w:t>TÉRMINO DEL TRASLADO DE LA DEMANDA ESTÁ VENCIDO. NO ES NECESARIO EL REQUISITO DE PROCEDIBILIDAD.</w:t>
            </w:r>
            <w:r w:rsidR="00934295" w:rsidRPr="00934295">
              <w:rPr>
                <w:rFonts w:ascii="Times New Roman" w:eastAsia="Times New Roman" w:hAnsi="Times New Roman" w:cs="Times New Roman"/>
                <w:b/>
                <w:color w:val="FF0000"/>
                <w:sz w:val="24"/>
                <w:szCs w:val="24"/>
                <w:lang w:eastAsia="es-CO"/>
              </w:rPr>
              <w:t xml:space="preserve"> </w:t>
            </w:r>
          </w:p>
          <w:p w14:paraId="79A52651" w14:textId="77777777"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sz w:val="18"/>
                <w:szCs w:val="18"/>
                <w:lang w:eastAsia="es-CO"/>
              </w:rPr>
              <w:t>Nota:</w:t>
            </w:r>
            <w:r w:rsidRPr="00BC0560">
              <w:rPr>
                <w:rFonts w:ascii="Arial" w:eastAsia="Times New Roman" w:hAnsi="Arial" w:cs="Arial"/>
                <w:i/>
                <w:iCs/>
                <w:color w:val="000000"/>
                <w:lang w:eastAsia="es-CO"/>
              </w:rPr>
              <w:t xml:space="preserve"> </w:t>
            </w:r>
            <w:r w:rsidRPr="00BC0560">
              <w:rPr>
                <w:rFonts w:ascii="Arial" w:eastAsia="Times New Roman" w:hAnsi="Arial" w:cs="Arial"/>
                <w:i/>
                <w:iCs/>
                <w:color w:val="000000"/>
                <w:sz w:val="18"/>
                <w:szCs w:val="18"/>
                <w:lang w:eastAsia="es-CO"/>
              </w:rPr>
              <w:t>para posibilitar que se pueda proferir sentencia anticipada, es necesario agotar de manera previa varios trámites dispuestos en el artículo 182A, esto es, las medidas que se señalan a continuación</w:t>
            </w:r>
            <w:r w:rsidRPr="00BC0560">
              <w:rPr>
                <w:rFonts w:ascii="Arial" w:eastAsia="Times New Roman" w:hAnsi="Arial" w:cs="Arial"/>
                <w:i/>
                <w:iCs/>
                <w:color w:val="000000"/>
                <w:lang w:eastAsia="es-CO"/>
              </w:rPr>
              <w:t>. </w:t>
            </w:r>
          </w:p>
        </w:tc>
      </w:tr>
      <w:tr w:rsidR="00BC0560" w:rsidRPr="00BC0560" w14:paraId="61F1F6C3" w14:textId="77777777"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4E74533" w14:textId="77777777" w:rsidR="00BC0560" w:rsidRPr="00BC0560" w:rsidRDefault="00BC0560" w:rsidP="00BC0560">
            <w:pPr>
              <w:numPr>
                <w:ilvl w:val="0"/>
                <w:numId w:val="1"/>
              </w:numPr>
              <w:spacing w:after="0" w:line="240" w:lineRule="auto"/>
              <w:ind w:left="387"/>
              <w:textAlignment w:val="baseline"/>
              <w:rPr>
                <w:rFonts w:ascii="Arial" w:eastAsia="Times New Roman" w:hAnsi="Arial" w:cs="Arial"/>
                <w:b/>
                <w:bCs/>
                <w:color w:val="000000"/>
                <w:lang w:eastAsia="es-CO"/>
              </w:rPr>
            </w:pPr>
            <w:r w:rsidRPr="00BC0560">
              <w:rPr>
                <w:rFonts w:ascii="Arial" w:eastAsia="Times New Roman" w:hAnsi="Arial" w:cs="Arial"/>
                <w:b/>
                <w:bCs/>
                <w:color w:val="000000"/>
                <w:lang w:eastAsia="es-CO"/>
              </w:rPr>
              <w:t>SENTENCIA ANTICIPADA ANTES DE LA AUDIENCIA INICIAL </w:t>
            </w:r>
          </w:p>
          <w:p w14:paraId="6756AF0F"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0386C445"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 (Numeral 1° del artículo 182A del CPACA)</w:t>
            </w:r>
          </w:p>
          <w:p w14:paraId="64243B2B"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5CFED1FC" w14:textId="731BF96D" w:rsidR="00BC0560" w:rsidRPr="00BC0560" w:rsidRDefault="00BC0560" w:rsidP="00BC0560">
            <w:pPr>
              <w:spacing w:after="0" w:line="240" w:lineRule="auto"/>
              <w:ind w:left="708"/>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lang w:eastAsia="es-CO"/>
              </w:rPr>
              <w:t>a</w:t>
            </w:r>
            <w:r w:rsidRPr="00BC0560">
              <w:rPr>
                <w:rFonts w:ascii="Arial" w:eastAsia="Times New Roman" w:hAnsi="Arial" w:cs="Arial"/>
                <w:i/>
                <w:iCs/>
                <w:color w:val="000000"/>
                <w:lang w:eastAsia="es-CO"/>
              </w:rPr>
              <w:t>) Cuando se trate de asuntos de puro derecho;</w:t>
            </w:r>
            <w:r w:rsidR="00D454B2">
              <w:rPr>
                <w:rFonts w:ascii="Arial" w:eastAsia="Times New Roman" w:hAnsi="Arial" w:cs="Arial"/>
                <w:i/>
                <w:iCs/>
                <w:color w:val="000000"/>
                <w:lang w:eastAsia="es-CO"/>
              </w:rPr>
              <w:t xml:space="preserve"> </w:t>
            </w:r>
            <w:r w:rsidRPr="007B5DA6">
              <w:rPr>
                <w:rFonts w:ascii="Arial" w:eastAsia="Times New Roman" w:hAnsi="Arial" w:cs="Arial"/>
                <w:i/>
                <w:iCs/>
                <w:color w:val="FF0000"/>
                <w:lang w:eastAsia="es-CO"/>
              </w:rPr>
              <w:t>_</w:t>
            </w:r>
            <w:r w:rsidR="007B5DA6" w:rsidRPr="007B5DA6">
              <w:rPr>
                <w:rFonts w:ascii="Arial" w:eastAsia="Times New Roman" w:hAnsi="Arial" w:cs="Arial"/>
                <w:i/>
                <w:iCs/>
                <w:color w:val="FF0000"/>
                <w:lang w:eastAsia="es-CO"/>
              </w:rPr>
              <w:t>X</w:t>
            </w:r>
            <w:r w:rsidRPr="007B5DA6">
              <w:rPr>
                <w:rFonts w:ascii="Arial" w:eastAsia="Times New Roman" w:hAnsi="Arial" w:cs="Arial"/>
                <w:i/>
                <w:iCs/>
                <w:color w:val="FF0000"/>
                <w:lang w:eastAsia="es-CO"/>
              </w:rPr>
              <w:t>_  </w:t>
            </w:r>
          </w:p>
          <w:p w14:paraId="36CAA9EE"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17E5F331" w14:textId="133CD212" w:rsidR="00BC0560" w:rsidRPr="00BC0560" w:rsidRDefault="00BC0560" w:rsidP="00BC0560">
            <w:pPr>
              <w:spacing w:after="0" w:line="240" w:lineRule="auto"/>
              <w:ind w:left="708"/>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lang w:eastAsia="es-CO"/>
              </w:rPr>
              <w:t>b)</w:t>
            </w:r>
            <w:r w:rsidRPr="00BC0560">
              <w:rPr>
                <w:rFonts w:ascii="Arial" w:eastAsia="Times New Roman" w:hAnsi="Arial" w:cs="Arial"/>
                <w:i/>
                <w:iCs/>
                <w:color w:val="000000"/>
                <w:lang w:eastAsia="es-CO"/>
              </w:rPr>
              <w:t xml:space="preserve"> Cuando no haya que practicar pruebas; </w:t>
            </w:r>
            <w:r w:rsidRPr="007B5DA6">
              <w:rPr>
                <w:rFonts w:ascii="Arial" w:eastAsia="Times New Roman" w:hAnsi="Arial" w:cs="Arial"/>
                <w:i/>
                <w:iCs/>
                <w:color w:val="FF0000"/>
                <w:lang w:eastAsia="es-CO"/>
              </w:rPr>
              <w:t>__</w:t>
            </w:r>
            <w:r w:rsidR="007B5DA6" w:rsidRPr="007B5DA6">
              <w:rPr>
                <w:rFonts w:ascii="Arial" w:eastAsia="Times New Roman" w:hAnsi="Arial" w:cs="Arial"/>
                <w:i/>
                <w:iCs/>
                <w:color w:val="FF0000"/>
                <w:lang w:eastAsia="es-CO"/>
              </w:rPr>
              <w:t>X</w:t>
            </w:r>
            <w:r w:rsidRPr="007B5DA6">
              <w:rPr>
                <w:rFonts w:ascii="Arial" w:eastAsia="Times New Roman" w:hAnsi="Arial" w:cs="Arial"/>
                <w:i/>
                <w:iCs/>
                <w:color w:val="FF0000"/>
                <w:lang w:eastAsia="es-CO"/>
              </w:rPr>
              <w:t>___ </w:t>
            </w:r>
          </w:p>
          <w:p w14:paraId="6BAF6F92"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44582CE6" w14:textId="37AEBD46" w:rsidR="00BC0560" w:rsidRPr="00BC0560" w:rsidRDefault="00BC0560" w:rsidP="00BC0560">
            <w:pPr>
              <w:spacing w:after="0" w:line="240" w:lineRule="auto"/>
              <w:ind w:left="708"/>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lang w:eastAsia="es-CO"/>
              </w:rPr>
              <w:t>c)</w:t>
            </w:r>
            <w:r w:rsidRPr="00BC0560">
              <w:rPr>
                <w:rFonts w:ascii="Arial" w:eastAsia="Times New Roman" w:hAnsi="Arial" w:cs="Arial"/>
                <w:i/>
                <w:iCs/>
                <w:color w:val="000000"/>
                <w:lang w:eastAsia="es-CO"/>
              </w:rPr>
              <w:t xml:space="preserve"> Cuando solo se solicite tener como pruebas las documentales aportadas con la demanda y la contestación, y sobre ellas no se hubiese formulado tacha o desconocimiento; </w:t>
            </w:r>
            <w:r w:rsidRPr="007B5DA6">
              <w:rPr>
                <w:rFonts w:ascii="Arial" w:eastAsia="Times New Roman" w:hAnsi="Arial" w:cs="Arial"/>
                <w:i/>
                <w:iCs/>
                <w:color w:val="FF0000"/>
                <w:lang w:eastAsia="es-CO"/>
              </w:rPr>
              <w:t>_</w:t>
            </w:r>
            <w:r w:rsidR="007B5DA6" w:rsidRPr="007B5DA6">
              <w:rPr>
                <w:rFonts w:ascii="Arial" w:eastAsia="Times New Roman" w:hAnsi="Arial" w:cs="Arial"/>
                <w:i/>
                <w:iCs/>
                <w:color w:val="FF0000"/>
                <w:lang w:eastAsia="es-CO"/>
              </w:rPr>
              <w:t>X</w:t>
            </w:r>
            <w:r w:rsidRPr="007B5DA6">
              <w:rPr>
                <w:rFonts w:ascii="Arial" w:eastAsia="Times New Roman" w:hAnsi="Arial" w:cs="Arial"/>
                <w:i/>
                <w:iCs/>
                <w:color w:val="FF0000"/>
                <w:lang w:eastAsia="es-CO"/>
              </w:rPr>
              <w:t>__</w:t>
            </w:r>
          </w:p>
          <w:p w14:paraId="05BF4CF3"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16F7AE24" w14:textId="77777777" w:rsidR="00BC0560" w:rsidRPr="00BC0560" w:rsidRDefault="00BC0560" w:rsidP="00BC0560">
            <w:pPr>
              <w:spacing w:after="0" w:line="240" w:lineRule="auto"/>
              <w:ind w:left="720"/>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lang w:eastAsia="es-CO"/>
              </w:rPr>
              <w:t>d)</w:t>
            </w:r>
            <w:r w:rsidRPr="00BC0560">
              <w:rPr>
                <w:rFonts w:ascii="Arial" w:eastAsia="Times New Roman" w:hAnsi="Arial" w:cs="Arial"/>
                <w:i/>
                <w:iCs/>
                <w:color w:val="000000"/>
                <w:lang w:eastAsia="es-CO"/>
              </w:rPr>
              <w:t xml:space="preserve"> Cuando las pruebas solicitadas por las partes sean impertinentes, inconducentes o inútiles.</w:t>
            </w:r>
            <w:r>
              <w:rPr>
                <w:rFonts w:ascii="Arial" w:eastAsia="Times New Roman" w:hAnsi="Arial" w:cs="Arial"/>
                <w:i/>
                <w:iCs/>
                <w:color w:val="000000"/>
                <w:lang w:eastAsia="es-CO"/>
              </w:rPr>
              <w:t xml:space="preserve"> ______</w:t>
            </w:r>
          </w:p>
          <w:p w14:paraId="36E066D5"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790114F0" w14:textId="0648CF76" w:rsidR="00BC0560" w:rsidRPr="00BC0560" w:rsidRDefault="00BC0560" w:rsidP="007B5DA6">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lastRenderedPageBreak/>
              <w:t>Cuando se verifique que procede la sentencia anticipada por alguno de los casos antes descritos, el juez o magistrado ponente debe: </w:t>
            </w:r>
            <w:r w:rsidRPr="00BC0560">
              <w:rPr>
                <w:rFonts w:ascii="Times New Roman" w:eastAsia="Times New Roman" w:hAnsi="Times New Roman" w:cs="Times New Roman"/>
                <w:sz w:val="24"/>
                <w:szCs w:val="24"/>
                <w:lang w:eastAsia="es-CO"/>
              </w:rPr>
              <w:br/>
            </w:r>
          </w:p>
          <w:p w14:paraId="398D3612" w14:textId="77777777" w:rsidR="00BC0560" w:rsidRPr="00BC0560" w:rsidRDefault="00BC0560" w:rsidP="00BC0560">
            <w:pPr>
              <w:numPr>
                <w:ilvl w:val="0"/>
                <w:numId w:val="2"/>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Proferir auto donde debe pronunciarse sobre las pruebas cuando a ello hubiere lugar, aplicando el artículo 173 del CGP. </w:t>
            </w:r>
          </w:p>
          <w:p w14:paraId="7960262E" w14:textId="77777777" w:rsidR="00BC0560" w:rsidRPr="00BC0560" w:rsidRDefault="00BC0560" w:rsidP="00BC0560">
            <w:pPr>
              <w:numPr>
                <w:ilvl w:val="0"/>
                <w:numId w:val="2"/>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En la misma providencia debe fijar el litigio u objeto de la controversia. </w:t>
            </w:r>
          </w:p>
          <w:p w14:paraId="78A5A426" w14:textId="77777777" w:rsidR="00BC0560" w:rsidRDefault="00BC0560" w:rsidP="00BC0560">
            <w:pPr>
              <w:spacing w:after="0" w:line="240" w:lineRule="auto"/>
              <w:rPr>
                <w:rFonts w:ascii="Times New Roman" w:eastAsia="Times New Roman" w:hAnsi="Times New Roman" w:cs="Times New Roman"/>
                <w:sz w:val="24"/>
                <w:szCs w:val="24"/>
                <w:lang w:eastAsia="es-CO"/>
              </w:rPr>
            </w:pPr>
          </w:p>
          <w:p w14:paraId="05974650" w14:textId="0DBB3875" w:rsidR="00D454B2" w:rsidRPr="007B5DA6" w:rsidRDefault="007B5DA6" w:rsidP="00D454B2">
            <w:pPr>
              <w:spacing w:after="0" w:line="240" w:lineRule="auto"/>
              <w:jc w:val="both"/>
              <w:rPr>
                <w:rFonts w:ascii="Arial" w:eastAsia="Times New Roman" w:hAnsi="Arial" w:cs="Arial"/>
                <w:color w:val="FF0000"/>
                <w:sz w:val="24"/>
                <w:szCs w:val="24"/>
                <w:lang w:eastAsia="es-CO"/>
              </w:rPr>
            </w:pPr>
            <w:r w:rsidRPr="007B5DA6">
              <w:rPr>
                <w:rFonts w:ascii="Arial" w:eastAsia="Times New Roman" w:hAnsi="Arial" w:cs="Arial"/>
                <w:color w:val="FF0000"/>
                <w:sz w:val="24"/>
                <w:szCs w:val="24"/>
                <w:lang w:eastAsia="es-CO"/>
              </w:rPr>
              <w:t>SE PROFERIRÁ SENTENCIA ANTICIPADA ANTES DE LA AUDIENCIA INICIAL</w:t>
            </w:r>
            <w:r>
              <w:rPr>
                <w:rFonts w:ascii="Arial" w:eastAsia="Times New Roman" w:hAnsi="Arial" w:cs="Arial"/>
                <w:color w:val="FF0000"/>
                <w:sz w:val="24"/>
                <w:szCs w:val="24"/>
                <w:lang w:eastAsia="es-CO"/>
              </w:rPr>
              <w:t xml:space="preserve"> A SOLICITUD DE PARTE</w:t>
            </w:r>
          </w:p>
          <w:p w14:paraId="17710BF5" w14:textId="77777777" w:rsidR="00D454B2" w:rsidRPr="00BC0560" w:rsidRDefault="00D454B2" w:rsidP="00BC0560">
            <w:pPr>
              <w:spacing w:after="0" w:line="240" w:lineRule="auto"/>
              <w:rPr>
                <w:rFonts w:ascii="Times New Roman" w:eastAsia="Times New Roman" w:hAnsi="Times New Roman" w:cs="Times New Roman"/>
                <w:sz w:val="24"/>
                <w:szCs w:val="24"/>
                <w:lang w:eastAsia="es-CO"/>
              </w:rPr>
            </w:pPr>
          </w:p>
          <w:p w14:paraId="66E485E0" w14:textId="77777777"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En firme las decisiones antes señaladas, se debe: </w:t>
            </w:r>
          </w:p>
          <w:p w14:paraId="67F0D457" w14:textId="545DE73D"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1D0EF203" w14:textId="663D407F" w:rsidR="00BC0560" w:rsidRPr="00BC0560" w:rsidRDefault="00BC0560" w:rsidP="00BC0560">
            <w:pPr>
              <w:numPr>
                <w:ilvl w:val="0"/>
                <w:numId w:val="3"/>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Correr traslado para alegar de conclusión en la forma prevista en el inciso final del artículo 181 del CPACA, y, </w:t>
            </w:r>
            <w:r w:rsidR="00D454B2">
              <w:rPr>
                <w:rFonts w:ascii="Arial" w:eastAsia="Times New Roman" w:hAnsi="Arial" w:cs="Arial"/>
                <w:color w:val="000000"/>
                <w:lang w:eastAsia="es-CO"/>
              </w:rPr>
              <w:t xml:space="preserve"> </w:t>
            </w:r>
          </w:p>
          <w:p w14:paraId="61671FD9"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7846FD6A" w14:textId="272DB594" w:rsidR="00BC0560" w:rsidRPr="007B5DA6" w:rsidRDefault="00BC0560" w:rsidP="00BC0560">
            <w:pPr>
              <w:numPr>
                <w:ilvl w:val="0"/>
                <w:numId w:val="4"/>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En la providencia que así lo ordene, se debe indicar la razón, o razones, por la cual se dictará sentencia anticipada, la cual se expedirá por escrito posteriormente.  </w:t>
            </w:r>
            <w:r w:rsidRPr="007B5DA6">
              <w:rPr>
                <w:rFonts w:ascii="Times New Roman" w:eastAsia="Times New Roman" w:hAnsi="Times New Roman" w:cs="Times New Roman"/>
                <w:sz w:val="24"/>
                <w:szCs w:val="24"/>
                <w:lang w:eastAsia="es-CO"/>
              </w:rPr>
              <w:br/>
            </w:r>
          </w:p>
          <w:p w14:paraId="5674BFCC" w14:textId="77777777" w:rsidR="00BC0560" w:rsidRPr="00BC0560" w:rsidRDefault="00BC0560" w:rsidP="00BC0560">
            <w:pPr>
              <w:numPr>
                <w:ilvl w:val="0"/>
                <w:numId w:val="5"/>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57EECB5A"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7EFC1827" w14:textId="77777777"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sz w:val="18"/>
                <w:szCs w:val="18"/>
                <w:lang w:eastAsia="es-CO"/>
              </w:rPr>
              <w:t>Nota: </w:t>
            </w:r>
          </w:p>
          <w:p w14:paraId="283795EB" w14:textId="77777777" w:rsidR="00BC0560" w:rsidRDefault="00BC0560" w:rsidP="00BC0560">
            <w:pPr>
              <w:spacing w:after="0" w:line="240" w:lineRule="auto"/>
              <w:jc w:val="both"/>
              <w:rPr>
                <w:rFonts w:ascii="Arial" w:eastAsia="Times New Roman" w:hAnsi="Arial" w:cs="Arial"/>
                <w:i/>
                <w:iCs/>
                <w:color w:val="000000"/>
                <w:sz w:val="18"/>
                <w:szCs w:val="18"/>
                <w:lang w:eastAsia="es-CO"/>
              </w:rPr>
            </w:pPr>
            <w:r w:rsidRPr="00BC0560">
              <w:rPr>
                <w:rFonts w:ascii="Arial" w:eastAsia="Times New Roman" w:hAnsi="Arial" w:cs="Arial"/>
                <w:i/>
                <w:iCs/>
                <w:color w:val="000000"/>
                <w:sz w:val="18"/>
                <w:szCs w:val="18"/>
                <w:lang w:eastAsia="es-CO"/>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Consejera Ponente: Sandra Lisset Ibarra Vélez. veintiuno (21) de junio de dos mil veintiuno (2021). Referencia del expediente: 11001032500020180079100 (3026-2018). </w:t>
            </w:r>
          </w:p>
          <w:p w14:paraId="5CAFDE59" w14:textId="77777777" w:rsidR="00BC0560" w:rsidRPr="00BC0560" w:rsidRDefault="00BC0560" w:rsidP="007B5DA6">
            <w:pPr>
              <w:spacing w:after="0" w:line="240" w:lineRule="auto"/>
              <w:jc w:val="both"/>
              <w:rPr>
                <w:rFonts w:ascii="Times New Roman" w:eastAsia="Times New Roman" w:hAnsi="Times New Roman" w:cs="Times New Roman"/>
                <w:sz w:val="24"/>
                <w:szCs w:val="24"/>
                <w:lang w:eastAsia="es-CO"/>
              </w:rPr>
            </w:pPr>
          </w:p>
        </w:tc>
      </w:tr>
      <w:tr w:rsidR="00BC0560" w:rsidRPr="00BC0560" w14:paraId="2C6E26E4" w14:textId="77777777"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948F67" w14:textId="77777777" w:rsidR="00BC0560" w:rsidRPr="00BC0560" w:rsidRDefault="00BC0560" w:rsidP="00BC0560">
            <w:pPr>
              <w:numPr>
                <w:ilvl w:val="0"/>
                <w:numId w:val="6"/>
              </w:numPr>
              <w:spacing w:after="0" w:line="240" w:lineRule="auto"/>
              <w:textAlignment w:val="baseline"/>
              <w:rPr>
                <w:rFonts w:ascii="Arial" w:eastAsia="Times New Roman" w:hAnsi="Arial" w:cs="Arial"/>
                <w:b/>
                <w:bCs/>
                <w:color w:val="000000"/>
                <w:lang w:eastAsia="es-CO"/>
              </w:rPr>
            </w:pPr>
            <w:r w:rsidRPr="00BC0560">
              <w:rPr>
                <w:rFonts w:ascii="Arial" w:eastAsia="Times New Roman" w:hAnsi="Arial" w:cs="Arial"/>
                <w:b/>
                <w:bCs/>
                <w:color w:val="000000"/>
                <w:lang w:eastAsia="es-CO"/>
              </w:rPr>
              <w:lastRenderedPageBreak/>
              <w:t>SENTENCIA ANTICIPADA EN CUALQUIER ESTADO DEL PROCESO, CUANDO LAS PARTES O SUS APODERADOS DE COMÚN ACUERDO LO SOLICITEN, SEA POR INICIATIVA PROPIA O POR SUGERENCIA DEL JUEZ </w:t>
            </w:r>
          </w:p>
          <w:p w14:paraId="504E1FDC"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602912A9"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(Numeral 2° del artículo 182A del CPACA)</w:t>
            </w:r>
          </w:p>
          <w:p w14:paraId="22BDD223" w14:textId="77777777" w:rsidR="00BC0560" w:rsidRPr="00BC0560" w:rsidRDefault="00BC0560" w:rsidP="00BC0560">
            <w:pPr>
              <w:spacing w:after="240" w:line="240" w:lineRule="auto"/>
              <w:rPr>
                <w:rFonts w:ascii="Times New Roman" w:eastAsia="Times New Roman" w:hAnsi="Times New Roman" w:cs="Times New Roman"/>
                <w:sz w:val="24"/>
                <w:szCs w:val="24"/>
                <w:lang w:eastAsia="es-CO"/>
              </w:rPr>
            </w:pPr>
          </w:p>
          <w:p w14:paraId="67333C0A"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Analizar las siguientes situaciones y proferir las decisiones que corresponde así: </w:t>
            </w:r>
          </w:p>
          <w:p w14:paraId="339335BB"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31812891" w14:textId="77777777" w:rsidR="00BC0560" w:rsidRPr="00BC0560" w:rsidRDefault="00BC0560" w:rsidP="00BC0560">
            <w:pPr>
              <w:numPr>
                <w:ilvl w:val="0"/>
                <w:numId w:val="7"/>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Si en el proceso intervienen litisconsortes necesarios, la petición deberá realizarse conjuntamente con estos;</w:t>
            </w:r>
          </w:p>
          <w:p w14:paraId="42FE1027"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27BE7AF7" w14:textId="77777777" w:rsidR="00BC0560" w:rsidRPr="00BC0560" w:rsidRDefault="00BC0560" w:rsidP="00BC0560">
            <w:pPr>
              <w:numPr>
                <w:ilvl w:val="0"/>
                <w:numId w:val="8"/>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lastRenderedPageBreak/>
              <w:t>Si la solicitud se presenta en el transcurso de una audiencia, se dará traslado para alegar dentro de ella y, surtido el traslado para alegar, se proferirá sentencia oral o escrita;</w:t>
            </w:r>
          </w:p>
          <w:p w14:paraId="5180248E"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3C0738B9" w14:textId="77777777" w:rsidR="00BC0560" w:rsidRPr="00BC0560" w:rsidRDefault="00BC0560" w:rsidP="00BC0560">
            <w:pPr>
              <w:numPr>
                <w:ilvl w:val="0"/>
                <w:numId w:val="9"/>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7C17E293"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3B5C2BA5" w14:textId="77777777" w:rsidR="00BC0560" w:rsidRPr="00BC0560" w:rsidRDefault="00BC0560" w:rsidP="00BC0560">
            <w:pPr>
              <w:numPr>
                <w:ilvl w:val="0"/>
                <w:numId w:val="10"/>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Con la aceptación de esta petición por parte del juzgador, se entenderán desistidos los recursos que hubieren formulado los peticionarios contra decisiones interlocutorias que estén pendientes de tramitar o resolver; y</w:t>
            </w:r>
          </w:p>
          <w:p w14:paraId="5A0337B9"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487DABCB" w14:textId="77777777" w:rsidR="00BC0560" w:rsidRPr="00BC0560" w:rsidRDefault="00BC0560" w:rsidP="00BC0560">
            <w:pPr>
              <w:numPr>
                <w:ilvl w:val="0"/>
                <w:numId w:val="11"/>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El juzgador rechazará la solicitud cuando advierta fraude o colusión</w:t>
            </w:r>
          </w:p>
          <w:p w14:paraId="3BB6BB99" w14:textId="77777777" w:rsidR="007B5DA6" w:rsidRDefault="007B5DA6" w:rsidP="00BC0560">
            <w:pPr>
              <w:spacing w:after="240" w:line="240" w:lineRule="auto"/>
              <w:rPr>
                <w:rFonts w:ascii="Times New Roman" w:eastAsia="Times New Roman" w:hAnsi="Times New Roman" w:cs="Times New Roman"/>
                <w:sz w:val="24"/>
                <w:szCs w:val="24"/>
                <w:lang w:eastAsia="es-CO"/>
              </w:rPr>
            </w:pPr>
          </w:p>
          <w:p w14:paraId="730A4532" w14:textId="77777777" w:rsidR="007B5DA6" w:rsidRDefault="007B5DA6" w:rsidP="007B5DA6">
            <w:pPr>
              <w:spacing w:after="240" w:line="240" w:lineRule="auto"/>
              <w:jc w:val="both"/>
              <w:rPr>
                <w:rFonts w:ascii="Arial" w:eastAsia="Times New Roman" w:hAnsi="Arial" w:cs="Arial"/>
                <w:color w:val="FF0000"/>
                <w:sz w:val="24"/>
                <w:szCs w:val="24"/>
                <w:lang w:eastAsia="es-CO"/>
              </w:rPr>
            </w:pPr>
            <w:r w:rsidRPr="007B5DA6">
              <w:rPr>
                <w:rFonts w:ascii="Arial" w:eastAsia="Times New Roman" w:hAnsi="Arial" w:cs="Arial"/>
                <w:color w:val="FF0000"/>
                <w:sz w:val="24"/>
                <w:szCs w:val="24"/>
                <w:lang w:eastAsia="es-CO"/>
              </w:rPr>
              <w:t>EN EL PRESENTE ASUNTO SE DICTARÁ SENTENCIA ANTICIPADA A PETICIÓN DE PARTE. EL PROCESO SE ENCONTRABA EN LA ETAPA DE FIJAR FECHA DE AUDIENCIA INICIAL</w:t>
            </w:r>
            <w:r>
              <w:rPr>
                <w:rFonts w:ascii="Arial" w:eastAsia="Times New Roman" w:hAnsi="Arial" w:cs="Arial"/>
                <w:color w:val="FF0000"/>
                <w:sz w:val="24"/>
                <w:szCs w:val="24"/>
                <w:lang w:eastAsia="es-CO"/>
              </w:rPr>
              <w:t>.</w:t>
            </w:r>
          </w:p>
          <w:p w14:paraId="183460B1" w14:textId="593576D0" w:rsidR="00BC0560" w:rsidRPr="007B5DA6" w:rsidRDefault="007B5DA6" w:rsidP="007B5DA6">
            <w:pPr>
              <w:spacing w:after="240" w:line="240" w:lineRule="auto"/>
              <w:jc w:val="both"/>
              <w:rPr>
                <w:rFonts w:ascii="Arial" w:eastAsia="Times New Roman" w:hAnsi="Arial" w:cs="Arial"/>
                <w:sz w:val="24"/>
                <w:szCs w:val="24"/>
                <w:lang w:eastAsia="es-CO"/>
              </w:rPr>
            </w:pPr>
            <w:r>
              <w:rPr>
                <w:rFonts w:ascii="Arial" w:eastAsia="Times New Roman" w:hAnsi="Arial" w:cs="Arial"/>
                <w:color w:val="FF0000"/>
                <w:sz w:val="24"/>
                <w:szCs w:val="24"/>
                <w:lang w:eastAsia="es-CO"/>
              </w:rPr>
              <w:t xml:space="preserve">EN EL AUTO SE PRESCINDIÓ DE LA AUDIENCIA INICIAL Y DE PRUEBAS, SE DECLARÓ CLAUSURADO EL PERIODO PROBATORIO Y SE DIO VALIDEZ A LAS PRUEBAS APORTADAS POR LAS PARTES Y SE ORDENÓ PRESENTAR ALEGATOS DE CONCLUSIÓN (ESTO ÚLTIMO SE ORDENÓ TENIENDO EN CUENTA QUE CON LA SOLICITUD DE SENTENCIA ANTICIPADA NO SE ALLEGARON ALEGATOS). </w:t>
            </w:r>
            <w:r w:rsidRPr="007B5DA6">
              <w:rPr>
                <w:rFonts w:ascii="Arial" w:eastAsia="Times New Roman" w:hAnsi="Arial" w:cs="Arial"/>
                <w:color w:val="FF0000"/>
                <w:sz w:val="24"/>
                <w:szCs w:val="24"/>
                <w:lang w:eastAsia="es-CO"/>
              </w:rPr>
              <w:br/>
            </w:r>
          </w:p>
        </w:tc>
      </w:tr>
      <w:tr w:rsidR="00BC0560" w:rsidRPr="00BC0560" w14:paraId="35A3A9EE" w14:textId="77777777"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D6C256" w14:textId="77777777" w:rsidR="00BC0560" w:rsidRPr="00BC0560" w:rsidRDefault="00BC0560" w:rsidP="00BC0560">
            <w:pPr>
              <w:numPr>
                <w:ilvl w:val="0"/>
                <w:numId w:val="12"/>
              </w:numPr>
              <w:spacing w:after="0" w:line="240" w:lineRule="auto"/>
              <w:jc w:val="both"/>
              <w:textAlignment w:val="baseline"/>
              <w:rPr>
                <w:rFonts w:ascii="Arial" w:eastAsia="Times New Roman" w:hAnsi="Arial" w:cs="Arial"/>
                <w:b/>
                <w:bCs/>
                <w:color w:val="000000"/>
                <w:lang w:eastAsia="es-CO"/>
              </w:rPr>
            </w:pPr>
            <w:r w:rsidRPr="00BC0560">
              <w:rPr>
                <w:rFonts w:ascii="Arial" w:eastAsia="Times New Roman" w:hAnsi="Arial" w:cs="Arial"/>
                <w:b/>
                <w:bCs/>
                <w:color w:val="000000"/>
                <w:lang w:eastAsia="es-CO"/>
              </w:rPr>
              <w:lastRenderedPageBreak/>
              <w:t>EN CUALQUIER ESTADO DEL PROCESO, CUANDO EL JUZGADOR ENCUENTRE PROBADA LA COSA JUZGADA, LA CADUCIDAD, LA TRANSACCIÓN, LA CONCILIACIÓN, LA FALTA MANIFIESTA DE LEGITIMACIÓN EN LA CAUSA Y LA PRESCRIPCIÓN EXTINTIVA</w:t>
            </w:r>
          </w:p>
          <w:p w14:paraId="01EA17FD"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0CA707F9"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(Numeral 3° del artículo 182A del CPACA)</w:t>
            </w:r>
          </w:p>
          <w:p w14:paraId="7EE9A4BC"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6461C9DB"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En estos eventos se debe proceder de la siguiente manera: </w:t>
            </w:r>
          </w:p>
          <w:p w14:paraId="1689B426"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3BD0C443" w14:textId="77777777" w:rsidR="00BC0560" w:rsidRPr="00BC0560" w:rsidRDefault="00BC0560" w:rsidP="00BC0560">
            <w:pPr>
              <w:numPr>
                <w:ilvl w:val="0"/>
                <w:numId w:val="13"/>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Se correrá traslado para alegar, y en la providencia que así lo ordene, el juzgador precisará sobre cuál o cuáles de las excepciones se pronunciará; y</w:t>
            </w:r>
          </w:p>
          <w:p w14:paraId="5306097E"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29A707BB" w14:textId="77777777" w:rsidR="00BC0560" w:rsidRPr="00BC0560" w:rsidRDefault="00BC0560" w:rsidP="00BC0560">
            <w:pPr>
              <w:numPr>
                <w:ilvl w:val="0"/>
                <w:numId w:val="14"/>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Escuchados o revisados los alegatos se proferirá sentencia anticipada, pero también se podrá reconsiderar la decisión de proferir sentencia de manera anticipada, y, en consecuencia, se continuará el trámite normal del proceso.</w:t>
            </w:r>
          </w:p>
          <w:p w14:paraId="07E06C6D"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47AC3CC2" w14:textId="77777777"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i/>
                <w:iCs/>
                <w:color w:val="000000"/>
                <w:sz w:val="18"/>
                <w:szCs w:val="18"/>
                <w:lang w:eastAsia="es-CO"/>
              </w:rPr>
              <w:t>Nota: en el caso de la transacción, enlistada en el tercer evento en el que se puede dictar sentencia anticipada, se procederá en la manera que a continuación se describe</w:t>
            </w:r>
            <w:r w:rsidRPr="00BC0560">
              <w:rPr>
                <w:rFonts w:ascii="Arial" w:eastAsia="Times New Roman" w:hAnsi="Arial" w:cs="Arial"/>
                <w:color w:val="000000"/>
                <w:lang w:eastAsia="es-CO"/>
              </w:rPr>
              <w:t>. </w:t>
            </w:r>
          </w:p>
        </w:tc>
      </w:tr>
      <w:tr w:rsidR="00BC0560" w:rsidRPr="00BC0560" w14:paraId="21382A25" w14:textId="77777777"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BAE5ED" w14:textId="77777777" w:rsidR="00BC0560" w:rsidRPr="00BC0560" w:rsidRDefault="00BC0560" w:rsidP="00BC0560">
            <w:pPr>
              <w:numPr>
                <w:ilvl w:val="0"/>
                <w:numId w:val="15"/>
              </w:numPr>
              <w:spacing w:after="0" w:line="240" w:lineRule="auto"/>
              <w:textAlignment w:val="baseline"/>
              <w:rPr>
                <w:rFonts w:ascii="Arial" w:eastAsia="Times New Roman" w:hAnsi="Arial" w:cs="Arial"/>
                <w:b/>
                <w:bCs/>
                <w:color w:val="000000"/>
                <w:lang w:eastAsia="es-CO"/>
              </w:rPr>
            </w:pPr>
            <w:r w:rsidRPr="00BC0560">
              <w:rPr>
                <w:rFonts w:ascii="Arial" w:eastAsia="Times New Roman" w:hAnsi="Arial" w:cs="Arial"/>
                <w:b/>
                <w:bCs/>
                <w:color w:val="000000"/>
                <w:lang w:eastAsia="es-CO"/>
              </w:rPr>
              <w:lastRenderedPageBreak/>
              <w:t>EN CASO DE ALLANAMIENTO O TRANSACCIÓN </w:t>
            </w:r>
          </w:p>
          <w:p w14:paraId="3713A677"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07E5F641"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(Numeral 4° del artículo 182A del CPACA)</w:t>
            </w:r>
          </w:p>
          <w:p w14:paraId="1C24D8FB"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4CA4E5F5"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En estos casos, el trámite será el siguiente: </w:t>
            </w:r>
          </w:p>
          <w:p w14:paraId="6D16BA7F"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1BFD99D1" w14:textId="77777777" w:rsidR="00BC0560" w:rsidRPr="00BC0560" w:rsidRDefault="00BC0560" w:rsidP="00BC0560">
            <w:pPr>
              <w:numPr>
                <w:ilvl w:val="0"/>
                <w:numId w:val="16"/>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Se dictará sentencia anticipada de manera inmediata, en aplicación del artículo 176 del CPACA; pero</w:t>
            </w:r>
          </w:p>
          <w:p w14:paraId="6B02AE2E"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60E110F2" w14:textId="77777777" w:rsidR="00BC0560" w:rsidRPr="00BC0560" w:rsidRDefault="00BC0560" w:rsidP="00BC0560">
            <w:pPr>
              <w:numPr>
                <w:ilvl w:val="0"/>
                <w:numId w:val="17"/>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El juzgador podrá rechazar el allanamiento o la transacción, y decretar pruebas de oficio, cuando advierta fraude o colusión o lo pida un tercero que intervenga en el proceso, también en aplicación del artículo 176 del CPACA; y</w:t>
            </w:r>
          </w:p>
          <w:p w14:paraId="35540608"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73782CE1" w14:textId="77777777" w:rsidR="00BC0560" w:rsidRPr="00BC0560" w:rsidRDefault="00BC0560" w:rsidP="00BC0560">
            <w:pPr>
              <w:numPr>
                <w:ilvl w:val="0"/>
                <w:numId w:val="18"/>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 xml:space="preserve">Cumplido lo anterior, el juzgador podrá proferir sentencia anticipada inmediatamente </w:t>
            </w:r>
            <w:r w:rsidRPr="00BC0560">
              <w:rPr>
                <w:rFonts w:ascii="Arial" w:eastAsia="Times New Roman" w:hAnsi="Arial" w:cs="Arial"/>
                <w:i/>
                <w:iCs/>
                <w:color w:val="000000"/>
                <w:lang w:eastAsia="es-CO"/>
              </w:rPr>
              <w:t>-si ha desaparecido la sospecha de fraude o colusión-</w:t>
            </w:r>
            <w:r w:rsidRPr="00BC0560">
              <w:rPr>
                <w:rFonts w:ascii="Arial" w:eastAsia="Times New Roman" w:hAnsi="Arial" w:cs="Arial"/>
                <w:color w:val="000000"/>
                <w:lang w:eastAsia="es-CO"/>
              </w:rPr>
              <w:t>, o continuará el trámite normal del proceso.</w:t>
            </w:r>
          </w:p>
          <w:p w14:paraId="645EBAFB" w14:textId="77777777" w:rsidR="00BC0560" w:rsidRPr="00BC0560" w:rsidRDefault="00BC0560" w:rsidP="00BC0560">
            <w:pPr>
              <w:spacing w:after="240" w:line="240" w:lineRule="auto"/>
              <w:rPr>
                <w:rFonts w:ascii="Times New Roman" w:eastAsia="Times New Roman" w:hAnsi="Times New Roman" w:cs="Times New Roman"/>
                <w:sz w:val="24"/>
                <w:szCs w:val="24"/>
                <w:lang w:eastAsia="es-CO"/>
              </w:rPr>
            </w:pPr>
          </w:p>
        </w:tc>
      </w:tr>
    </w:tbl>
    <w:p w14:paraId="02B583B2" w14:textId="77777777" w:rsidR="008C66DF" w:rsidRDefault="008C66DF"/>
    <w:sectPr w:rsidR="008C66D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A7E6D"/>
    <w:multiLevelType w:val="multilevel"/>
    <w:tmpl w:val="F1563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975EFE"/>
    <w:multiLevelType w:val="multilevel"/>
    <w:tmpl w:val="0DFA950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F44C52"/>
    <w:multiLevelType w:val="multilevel"/>
    <w:tmpl w:val="5E64B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DD1B38"/>
    <w:multiLevelType w:val="hybridMultilevel"/>
    <w:tmpl w:val="BE3C7548"/>
    <w:lvl w:ilvl="0" w:tplc="BDF02954">
      <w:start w:val="3"/>
      <w:numFmt w:val="lowerLetter"/>
      <w:lvlText w:val="%1."/>
      <w:lvlJc w:val="left"/>
      <w:pPr>
        <w:tabs>
          <w:tab w:val="num" w:pos="720"/>
        </w:tabs>
        <w:ind w:left="720" w:hanging="360"/>
      </w:pPr>
    </w:lvl>
    <w:lvl w:ilvl="1" w:tplc="C0203930" w:tentative="1">
      <w:start w:val="1"/>
      <w:numFmt w:val="decimal"/>
      <w:lvlText w:val="%2."/>
      <w:lvlJc w:val="left"/>
      <w:pPr>
        <w:tabs>
          <w:tab w:val="num" w:pos="1440"/>
        </w:tabs>
        <w:ind w:left="1440" w:hanging="360"/>
      </w:pPr>
    </w:lvl>
    <w:lvl w:ilvl="2" w:tplc="563EF7CC" w:tentative="1">
      <w:start w:val="1"/>
      <w:numFmt w:val="decimal"/>
      <w:lvlText w:val="%3."/>
      <w:lvlJc w:val="left"/>
      <w:pPr>
        <w:tabs>
          <w:tab w:val="num" w:pos="2160"/>
        </w:tabs>
        <w:ind w:left="2160" w:hanging="360"/>
      </w:pPr>
    </w:lvl>
    <w:lvl w:ilvl="3" w:tplc="1312160E" w:tentative="1">
      <w:start w:val="1"/>
      <w:numFmt w:val="decimal"/>
      <w:lvlText w:val="%4."/>
      <w:lvlJc w:val="left"/>
      <w:pPr>
        <w:tabs>
          <w:tab w:val="num" w:pos="2880"/>
        </w:tabs>
        <w:ind w:left="2880" w:hanging="360"/>
      </w:pPr>
    </w:lvl>
    <w:lvl w:ilvl="4" w:tplc="9DD6BC74" w:tentative="1">
      <w:start w:val="1"/>
      <w:numFmt w:val="decimal"/>
      <w:lvlText w:val="%5."/>
      <w:lvlJc w:val="left"/>
      <w:pPr>
        <w:tabs>
          <w:tab w:val="num" w:pos="3600"/>
        </w:tabs>
        <w:ind w:left="3600" w:hanging="360"/>
      </w:pPr>
    </w:lvl>
    <w:lvl w:ilvl="5" w:tplc="4D24EBE8" w:tentative="1">
      <w:start w:val="1"/>
      <w:numFmt w:val="decimal"/>
      <w:lvlText w:val="%6."/>
      <w:lvlJc w:val="left"/>
      <w:pPr>
        <w:tabs>
          <w:tab w:val="num" w:pos="4320"/>
        </w:tabs>
        <w:ind w:left="4320" w:hanging="360"/>
      </w:pPr>
    </w:lvl>
    <w:lvl w:ilvl="6" w:tplc="ABDEEABE" w:tentative="1">
      <w:start w:val="1"/>
      <w:numFmt w:val="decimal"/>
      <w:lvlText w:val="%7."/>
      <w:lvlJc w:val="left"/>
      <w:pPr>
        <w:tabs>
          <w:tab w:val="num" w:pos="5040"/>
        </w:tabs>
        <w:ind w:left="5040" w:hanging="360"/>
      </w:pPr>
    </w:lvl>
    <w:lvl w:ilvl="7" w:tplc="3FA64722" w:tentative="1">
      <w:start w:val="1"/>
      <w:numFmt w:val="decimal"/>
      <w:lvlText w:val="%8."/>
      <w:lvlJc w:val="left"/>
      <w:pPr>
        <w:tabs>
          <w:tab w:val="num" w:pos="5760"/>
        </w:tabs>
        <w:ind w:left="5760" w:hanging="360"/>
      </w:pPr>
    </w:lvl>
    <w:lvl w:ilvl="8" w:tplc="723CF90C" w:tentative="1">
      <w:start w:val="1"/>
      <w:numFmt w:val="decimal"/>
      <w:lvlText w:val="%9."/>
      <w:lvlJc w:val="left"/>
      <w:pPr>
        <w:tabs>
          <w:tab w:val="num" w:pos="6480"/>
        </w:tabs>
        <w:ind w:left="6480" w:hanging="360"/>
      </w:pPr>
    </w:lvl>
  </w:abstractNum>
  <w:abstractNum w:abstractNumId="4" w15:restartNumberingAfterBreak="0">
    <w:nsid w:val="272E385B"/>
    <w:multiLevelType w:val="hybridMultilevel"/>
    <w:tmpl w:val="98F09F56"/>
    <w:lvl w:ilvl="0" w:tplc="3ACCF482">
      <w:start w:val="2"/>
      <w:numFmt w:val="lowerLetter"/>
      <w:lvlText w:val="%1."/>
      <w:lvlJc w:val="left"/>
      <w:pPr>
        <w:tabs>
          <w:tab w:val="num" w:pos="720"/>
        </w:tabs>
        <w:ind w:left="720" w:hanging="360"/>
      </w:pPr>
    </w:lvl>
    <w:lvl w:ilvl="1" w:tplc="BDE0D506" w:tentative="1">
      <w:start w:val="1"/>
      <w:numFmt w:val="decimal"/>
      <w:lvlText w:val="%2."/>
      <w:lvlJc w:val="left"/>
      <w:pPr>
        <w:tabs>
          <w:tab w:val="num" w:pos="1440"/>
        </w:tabs>
        <w:ind w:left="1440" w:hanging="360"/>
      </w:pPr>
    </w:lvl>
    <w:lvl w:ilvl="2" w:tplc="ED068504" w:tentative="1">
      <w:start w:val="1"/>
      <w:numFmt w:val="decimal"/>
      <w:lvlText w:val="%3."/>
      <w:lvlJc w:val="left"/>
      <w:pPr>
        <w:tabs>
          <w:tab w:val="num" w:pos="2160"/>
        </w:tabs>
        <w:ind w:left="2160" w:hanging="360"/>
      </w:pPr>
    </w:lvl>
    <w:lvl w:ilvl="3" w:tplc="6FD0E08A" w:tentative="1">
      <w:start w:val="1"/>
      <w:numFmt w:val="decimal"/>
      <w:lvlText w:val="%4."/>
      <w:lvlJc w:val="left"/>
      <w:pPr>
        <w:tabs>
          <w:tab w:val="num" w:pos="2880"/>
        </w:tabs>
        <w:ind w:left="2880" w:hanging="360"/>
      </w:pPr>
    </w:lvl>
    <w:lvl w:ilvl="4" w:tplc="9CB66630" w:tentative="1">
      <w:start w:val="1"/>
      <w:numFmt w:val="decimal"/>
      <w:lvlText w:val="%5."/>
      <w:lvlJc w:val="left"/>
      <w:pPr>
        <w:tabs>
          <w:tab w:val="num" w:pos="3600"/>
        </w:tabs>
        <w:ind w:left="3600" w:hanging="360"/>
      </w:pPr>
    </w:lvl>
    <w:lvl w:ilvl="5" w:tplc="B49A28BE" w:tentative="1">
      <w:start w:val="1"/>
      <w:numFmt w:val="decimal"/>
      <w:lvlText w:val="%6."/>
      <w:lvlJc w:val="left"/>
      <w:pPr>
        <w:tabs>
          <w:tab w:val="num" w:pos="4320"/>
        </w:tabs>
        <w:ind w:left="4320" w:hanging="360"/>
      </w:pPr>
    </w:lvl>
    <w:lvl w:ilvl="6" w:tplc="49CEF4EE" w:tentative="1">
      <w:start w:val="1"/>
      <w:numFmt w:val="decimal"/>
      <w:lvlText w:val="%7."/>
      <w:lvlJc w:val="left"/>
      <w:pPr>
        <w:tabs>
          <w:tab w:val="num" w:pos="5040"/>
        </w:tabs>
        <w:ind w:left="5040" w:hanging="360"/>
      </w:pPr>
    </w:lvl>
    <w:lvl w:ilvl="7" w:tplc="D7E05B02" w:tentative="1">
      <w:start w:val="1"/>
      <w:numFmt w:val="decimal"/>
      <w:lvlText w:val="%8."/>
      <w:lvlJc w:val="left"/>
      <w:pPr>
        <w:tabs>
          <w:tab w:val="num" w:pos="5760"/>
        </w:tabs>
        <w:ind w:left="5760" w:hanging="360"/>
      </w:pPr>
    </w:lvl>
    <w:lvl w:ilvl="8" w:tplc="DF88F748" w:tentative="1">
      <w:start w:val="1"/>
      <w:numFmt w:val="decimal"/>
      <w:lvlText w:val="%9."/>
      <w:lvlJc w:val="left"/>
      <w:pPr>
        <w:tabs>
          <w:tab w:val="num" w:pos="6480"/>
        </w:tabs>
        <w:ind w:left="6480" w:hanging="360"/>
      </w:pPr>
    </w:lvl>
  </w:abstractNum>
  <w:abstractNum w:abstractNumId="5" w15:restartNumberingAfterBreak="0">
    <w:nsid w:val="31264D7F"/>
    <w:multiLevelType w:val="hybridMultilevel"/>
    <w:tmpl w:val="99CA4B0C"/>
    <w:lvl w:ilvl="0" w:tplc="66A894D2">
      <w:start w:val="2"/>
      <w:numFmt w:val="lowerLetter"/>
      <w:lvlText w:val="%1."/>
      <w:lvlJc w:val="left"/>
      <w:pPr>
        <w:tabs>
          <w:tab w:val="num" w:pos="720"/>
        </w:tabs>
        <w:ind w:left="720" w:hanging="360"/>
      </w:pPr>
    </w:lvl>
    <w:lvl w:ilvl="1" w:tplc="A9B8A2AA" w:tentative="1">
      <w:start w:val="1"/>
      <w:numFmt w:val="decimal"/>
      <w:lvlText w:val="%2."/>
      <w:lvlJc w:val="left"/>
      <w:pPr>
        <w:tabs>
          <w:tab w:val="num" w:pos="1440"/>
        </w:tabs>
        <w:ind w:left="1440" w:hanging="360"/>
      </w:pPr>
    </w:lvl>
    <w:lvl w:ilvl="2" w:tplc="05A03796" w:tentative="1">
      <w:start w:val="1"/>
      <w:numFmt w:val="decimal"/>
      <w:lvlText w:val="%3."/>
      <w:lvlJc w:val="left"/>
      <w:pPr>
        <w:tabs>
          <w:tab w:val="num" w:pos="2160"/>
        </w:tabs>
        <w:ind w:left="2160" w:hanging="360"/>
      </w:pPr>
    </w:lvl>
    <w:lvl w:ilvl="3" w:tplc="FBEC28E6" w:tentative="1">
      <w:start w:val="1"/>
      <w:numFmt w:val="decimal"/>
      <w:lvlText w:val="%4."/>
      <w:lvlJc w:val="left"/>
      <w:pPr>
        <w:tabs>
          <w:tab w:val="num" w:pos="2880"/>
        </w:tabs>
        <w:ind w:left="2880" w:hanging="360"/>
      </w:pPr>
    </w:lvl>
    <w:lvl w:ilvl="4" w:tplc="5058C19A" w:tentative="1">
      <w:start w:val="1"/>
      <w:numFmt w:val="decimal"/>
      <w:lvlText w:val="%5."/>
      <w:lvlJc w:val="left"/>
      <w:pPr>
        <w:tabs>
          <w:tab w:val="num" w:pos="3600"/>
        </w:tabs>
        <w:ind w:left="3600" w:hanging="360"/>
      </w:pPr>
    </w:lvl>
    <w:lvl w:ilvl="5" w:tplc="D37E2866" w:tentative="1">
      <w:start w:val="1"/>
      <w:numFmt w:val="decimal"/>
      <w:lvlText w:val="%6."/>
      <w:lvlJc w:val="left"/>
      <w:pPr>
        <w:tabs>
          <w:tab w:val="num" w:pos="4320"/>
        </w:tabs>
        <w:ind w:left="4320" w:hanging="360"/>
      </w:pPr>
    </w:lvl>
    <w:lvl w:ilvl="6" w:tplc="4FE2071C" w:tentative="1">
      <w:start w:val="1"/>
      <w:numFmt w:val="decimal"/>
      <w:lvlText w:val="%7."/>
      <w:lvlJc w:val="left"/>
      <w:pPr>
        <w:tabs>
          <w:tab w:val="num" w:pos="5040"/>
        </w:tabs>
        <w:ind w:left="5040" w:hanging="360"/>
      </w:pPr>
    </w:lvl>
    <w:lvl w:ilvl="7" w:tplc="372634EE" w:tentative="1">
      <w:start w:val="1"/>
      <w:numFmt w:val="decimal"/>
      <w:lvlText w:val="%8."/>
      <w:lvlJc w:val="left"/>
      <w:pPr>
        <w:tabs>
          <w:tab w:val="num" w:pos="5760"/>
        </w:tabs>
        <w:ind w:left="5760" w:hanging="360"/>
      </w:pPr>
    </w:lvl>
    <w:lvl w:ilvl="8" w:tplc="16AC40DA" w:tentative="1">
      <w:start w:val="1"/>
      <w:numFmt w:val="decimal"/>
      <w:lvlText w:val="%9."/>
      <w:lvlJc w:val="left"/>
      <w:pPr>
        <w:tabs>
          <w:tab w:val="num" w:pos="6480"/>
        </w:tabs>
        <w:ind w:left="6480" w:hanging="360"/>
      </w:pPr>
    </w:lvl>
  </w:abstractNum>
  <w:abstractNum w:abstractNumId="6" w15:restartNumberingAfterBreak="0">
    <w:nsid w:val="32204302"/>
    <w:multiLevelType w:val="hybridMultilevel"/>
    <w:tmpl w:val="B7BC454C"/>
    <w:lvl w:ilvl="0" w:tplc="F0C8C08E">
      <w:start w:val="3"/>
      <w:numFmt w:val="lowerLetter"/>
      <w:lvlText w:val="%1."/>
      <w:lvlJc w:val="left"/>
      <w:pPr>
        <w:tabs>
          <w:tab w:val="num" w:pos="720"/>
        </w:tabs>
        <w:ind w:left="720" w:hanging="360"/>
      </w:pPr>
    </w:lvl>
    <w:lvl w:ilvl="1" w:tplc="7DCED708" w:tentative="1">
      <w:start w:val="1"/>
      <w:numFmt w:val="decimal"/>
      <w:lvlText w:val="%2."/>
      <w:lvlJc w:val="left"/>
      <w:pPr>
        <w:tabs>
          <w:tab w:val="num" w:pos="1440"/>
        </w:tabs>
        <w:ind w:left="1440" w:hanging="360"/>
      </w:pPr>
    </w:lvl>
    <w:lvl w:ilvl="2" w:tplc="C65E868A" w:tentative="1">
      <w:start w:val="1"/>
      <w:numFmt w:val="decimal"/>
      <w:lvlText w:val="%3."/>
      <w:lvlJc w:val="left"/>
      <w:pPr>
        <w:tabs>
          <w:tab w:val="num" w:pos="2160"/>
        </w:tabs>
        <w:ind w:left="2160" w:hanging="360"/>
      </w:pPr>
    </w:lvl>
    <w:lvl w:ilvl="3" w:tplc="BBDEBCC0" w:tentative="1">
      <w:start w:val="1"/>
      <w:numFmt w:val="decimal"/>
      <w:lvlText w:val="%4."/>
      <w:lvlJc w:val="left"/>
      <w:pPr>
        <w:tabs>
          <w:tab w:val="num" w:pos="2880"/>
        </w:tabs>
        <w:ind w:left="2880" w:hanging="360"/>
      </w:pPr>
    </w:lvl>
    <w:lvl w:ilvl="4" w:tplc="AAF03512" w:tentative="1">
      <w:start w:val="1"/>
      <w:numFmt w:val="decimal"/>
      <w:lvlText w:val="%5."/>
      <w:lvlJc w:val="left"/>
      <w:pPr>
        <w:tabs>
          <w:tab w:val="num" w:pos="3600"/>
        </w:tabs>
        <w:ind w:left="3600" w:hanging="360"/>
      </w:pPr>
    </w:lvl>
    <w:lvl w:ilvl="5" w:tplc="45FC3B5E" w:tentative="1">
      <w:start w:val="1"/>
      <w:numFmt w:val="decimal"/>
      <w:lvlText w:val="%6."/>
      <w:lvlJc w:val="left"/>
      <w:pPr>
        <w:tabs>
          <w:tab w:val="num" w:pos="4320"/>
        </w:tabs>
        <w:ind w:left="4320" w:hanging="360"/>
      </w:pPr>
    </w:lvl>
    <w:lvl w:ilvl="6" w:tplc="E0221FB6" w:tentative="1">
      <w:start w:val="1"/>
      <w:numFmt w:val="decimal"/>
      <w:lvlText w:val="%7."/>
      <w:lvlJc w:val="left"/>
      <w:pPr>
        <w:tabs>
          <w:tab w:val="num" w:pos="5040"/>
        </w:tabs>
        <w:ind w:left="5040" w:hanging="360"/>
      </w:pPr>
    </w:lvl>
    <w:lvl w:ilvl="7" w:tplc="D3A27C28" w:tentative="1">
      <w:start w:val="1"/>
      <w:numFmt w:val="decimal"/>
      <w:lvlText w:val="%8."/>
      <w:lvlJc w:val="left"/>
      <w:pPr>
        <w:tabs>
          <w:tab w:val="num" w:pos="5760"/>
        </w:tabs>
        <w:ind w:left="5760" w:hanging="360"/>
      </w:pPr>
    </w:lvl>
    <w:lvl w:ilvl="8" w:tplc="8210FE7A" w:tentative="1">
      <w:start w:val="1"/>
      <w:numFmt w:val="decimal"/>
      <w:lvlText w:val="%9."/>
      <w:lvlJc w:val="left"/>
      <w:pPr>
        <w:tabs>
          <w:tab w:val="num" w:pos="6480"/>
        </w:tabs>
        <w:ind w:left="6480" w:hanging="360"/>
      </w:pPr>
    </w:lvl>
  </w:abstractNum>
  <w:abstractNum w:abstractNumId="7" w15:restartNumberingAfterBreak="0">
    <w:nsid w:val="3EF74B55"/>
    <w:multiLevelType w:val="multilevel"/>
    <w:tmpl w:val="A06CE0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4F912D5"/>
    <w:multiLevelType w:val="hybridMultilevel"/>
    <w:tmpl w:val="33C2F6DA"/>
    <w:lvl w:ilvl="0" w:tplc="BF8865E2">
      <w:start w:val="4"/>
      <w:numFmt w:val="lowerLetter"/>
      <w:lvlText w:val="%1."/>
      <w:lvlJc w:val="left"/>
      <w:pPr>
        <w:tabs>
          <w:tab w:val="num" w:pos="720"/>
        </w:tabs>
        <w:ind w:left="720" w:hanging="360"/>
      </w:pPr>
    </w:lvl>
    <w:lvl w:ilvl="1" w:tplc="F2182DAE" w:tentative="1">
      <w:start w:val="1"/>
      <w:numFmt w:val="decimal"/>
      <w:lvlText w:val="%2."/>
      <w:lvlJc w:val="left"/>
      <w:pPr>
        <w:tabs>
          <w:tab w:val="num" w:pos="1440"/>
        </w:tabs>
        <w:ind w:left="1440" w:hanging="360"/>
      </w:pPr>
    </w:lvl>
    <w:lvl w:ilvl="2" w:tplc="F216C2D4" w:tentative="1">
      <w:start w:val="1"/>
      <w:numFmt w:val="decimal"/>
      <w:lvlText w:val="%3."/>
      <w:lvlJc w:val="left"/>
      <w:pPr>
        <w:tabs>
          <w:tab w:val="num" w:pos="2160"/>
        </w:tabs>
        <w:ind w:left="2160" w:hanging="360"/>
      </w:pPr>
    </w:lvl>
    <w:lvl w:ilvl="3" w:tplc="B074E0B0" w:tentative="1">
      <w:start w:val="1"/>
      <w:numFmt w:val="decimal"/>
      <w:lvlText w:val="%4."/>
      <w:lvlJc w:val="left"/>
      <w:pPr>
        <w:tabs>
          <w:tab w:val="num" w:pos="2880"/>
        </w:tabs>
        <w:ind w:left="2880" w:hanging="360"/>
      </w:pPr>
    </w:lvl>
    <w:lvl w:ilvl="4" w:tplc="779651AC" w:tentative="1">
      <w:start w:val="1"/>
      <w:numFmt w:val="decimal"/>
      <w:lvlText w:val="%5."/>
      <w:lvlJc w:val="left"/>
      <w:pPr>
        <w:tabs>
          <w:tab w:val="num" w:pos="3600"/>
        </w:tabs>
        <w:ind w:left="3600" w:hanging="360"/>
      </w:pPr>
    </w:lvl>
    <w:lvl w:ilvl="5" w:tplc="9892981A" w:tentative="1">
      <w:start w:val="1"/>
      <w:numFmt w:val="decimal"/>
      <w:lvlText w:val="%6."/>
      <w:lvlJc w:val="left"/>
      <w:pPr>
        <w:tabs>
          <w:tab w:val="num" w:pos="4320"/>
        </w:tabs>
        <w:ind w:left="4320" w:hanging="360"/>
      </w:pPr>
    </w:lvl>
    <w:lvl w:ilvl="6" w:tplc="8A1022E2" w:tentative="1">
      <w:start w:val="1"/>
      <w:numFmt w:val="decimal"/>
      <w:lvlText w:val="%7."/>
      <w:lvlJc w:val="left"/>
      <w:pPr>
        <w:tabs>
          <w:tab w:val="num" w:pos="5040"/>
        </w:tabs>
        <w:ind w:left="5040" w:hanging="360"/>
      </w:pPr>
    </w:lvl>
    <w:lvl w:ilvl="7" w:tplc="B8B44E54" w:tentative="1">
      <w:start w:val="1"/>
      <w:numFmt w:val="decimal"/>
      <w:lvlText w:val="%8."/>
      <w:lvlJc w:val="left"/>
      <w:pPr>
        <w:tabs>
          <w:tab w:val="num" w:pos="5760"/>
        </w:tabs>
        <w:ind w:left="5760" w:hanging="360"/>
      </w:pPr>
    </w:lvl>
    <w:lvl w:ilvl="8" w:tplc="8692262C" w:tentative="1">
      <w:start w:val="1"/>
      <w:numFmt w:val="decimal"/>
      <w:lvlText w:val="%9."/>
      <w:lvlJc w:val="left"/>
      <w:pPr>
        <w:tabs>
          <w:tab w:val="num" w:pos="6480"/>
        </w:tabs>
        <w:ind w:left="6480" w:hanging="360"/>
      </w:pPr>
    </w:lvl>
  </w:abstractNum>
  <w:abstractNum w:abstractNumId="9" w15:restartNumberingAfterBreak="0">
    <w:nsid w:val="5679271F"/>
    <w:multiLevelType w:val="multilevel"/>
    <w:tmpl w:val="09708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8C12784"/>
    <w:multiLevelType w:val="hybridMultilevel"/>
    <w:tmpl w:val="4F90CDB0"/>
    <w:lvl w:ilvl="0" w:tplc="6C2AFA0A">
      <w:start w:val="2"/>
      <w:numFmt w:val="lowerLetter"/>
      <w:lvlText w:val="%1."/>
      <w:lvlJc w:val="left"/>
      <w:pPr>
        <w:tabs>
          <w:tab w:val="num" w:pos="720"/>
        </w:tabs>
        <w:ind w:left="720" w:hanging="360"/>
      </w:pPr>
    </w:lvl>
    <w:lvl w:ilvl="1" w:tplc="F1E0A49A" w:tentative="1">
      <w:start w:val="1"/>
      <w:numFmt w:val="decimal"/>
      <w:lvlText w:val="%2."/>
      <w:lvlJc w:val="left"/>
      <w:pPr>
        <w:tabs>
          <w:tab w:val="num" w:pos="1440"/>
        </w:tabs>
        <w:ind w:left="1440" w:hanging="360"/>
      </w:pPr>
    </w:lvl>
    <w:lvl w:ilvl="2" w:tplc="3934030E" w:tentative="1">
      <w:start w:val="1"/>
      <w:numFmt w:val="decimal"/>
      <w:lvlText w:val="%3."/>
      <w:lvlJc w:val="left"/>
      <w:pPr>
        <w:tabs>
          <w:tab w:val="num" w:pos="2160"/>
        </w:tabs>
        <w:ind w:left="2160" w:hanging="360"/>
      </w:pPr>
    </w:lvl>
    <w:lvl w:ilvl="3" w:tplc="9D1A9A46" w:tentative="1">
      <w:start w:val="1"/>
      <w:numFmt w:val="decimal"/>
      <w:lvlText w:val="%4."/>
      <w:lvlJc w:val="left"/>
      <w:pPr>
        <w:tabs>
          <w:tab w:val="num" w:pos="2880"/>
        </w:tabs>
        <w:ind w:left="2880" w:hanging="360"/>
      </w:pPr>
    </w:lvl>
    <w:lvl w:ilvl="4" w:tplc="1444BF60" w:tentative="1">
      <w:start w:val="1"/>
      <w:numFmt w:val="decimal"/>
      <w:lvlText w:val="%5."/>
      <w:lvlJc w:val="left"/>
      <w:pPr>
        <w:tabs>
          <w:tab w:val="num" w:pos="3600"/>
        </w:tabs>
        <w:ind w:left="3600" w:hanging="360"/>
      </w:pPr>
    </w:lvl>
    <w:lvl w:ilvl="5" w:tplc="4A087610" w:tentative="1">
      <w:start w:val="1"/>
      <w:numFmt w:val="decimal"/>
      <w:lvlText w:val="%6."/>
      <w:lvlJc w:val="left"/>
      <w:pPr>
        <w:tabs>
          <w:tab w:val="num" w:pos="4320"/>
        </w:tabs>
        <w:ind w:left="4320" w:hanging="360"/>
      </w:pPr>
    </w:lvl>
    <w:lvl w:ilvl="6" w:tplc="CE4CF64A" w:tentative="1">
      <w:start w:val="1"/>
      <w:numFmt w:val="decimal"/>
      <w:lvlText w:val="%7."/>
      <w:lvlJc w:val="left"/>
      <w:pPr>
        <w:tabs>
          <w:tab w:val="num" w:pos="5040"/>
        </w:tabs>
        <w:ind w:left="5040" w:hanging="360"/>
      </w:pPr>
    </w:lvl>
    <w:lvl w:ilvl="7" w:tplc="30160EBC" w:tentative="1">
      <w:start w:val="1"/>
      <w:numFmt w:val="decimal"/>
      <w:lvlText w:val="%8."/>
      <w:lvlJc w:val="left"/>
      <w:pPr>
        <w:tabs>
          <w:tab w:val="num" w:pos="5760"/>
        </w:tabs>
        <w:ind w:left="5760" w:hanging="360"/>
      </w:pPr>
    </w:lvl>
    <w:lvl w:ilvl="8" w:tplc="A3764D78" w:tentative="1">
      <w:start w:val="1"/>
      <w:numFmt w:val="decimal"/>
      <w:lvlText w:val="%9."/>
      <w:lvlJc w:val="left"/>
      <w:pPr>
        <w:tabs>
          <w:tab w:val="num" w:pos="6480"/>
        </w:tabs>
        <w:ind w:left="6480" w:hanging="360"/>
      </w:pPr>
    </w:lvl>
  </w:abstractNum>
  <w:abstractNum w:abstractNumId="11" w15:restartNumberingAfterBreak="0">
    <w:nsid w:val="65C1590D"/>
    <w:multiLevelType w:val="multilevel"/>
    <w:tmpl w:val="3438A26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7062D52"/>
    <w:multiLevelType w:val="hybridMultilevel"/>
    <w:tmpl w:val="B39C181C"/>
    <w:lvl w:ilvl="0" w:tplc="4D2E398E">
      <w:start w:val="5"/>
      <w:numFmt w:val="lowerLetter"/>
      <w:lvlText w:val="%1."/>
      <w:lvlJc w:val="left"/>
      <w:pPr>
        <w:tabs>
          <w:tab w:val="num" w:pos="720"/>
        </w:tabs>
        <w:ind w:left="720" w:hanging="360"/>
      </w:pPr>
    </w:lvl>
    <w:lvl w:ilvl="1" w:tplc="6212E392" w:tentative="1">
      <w:start w:val="1"/>
      <w:numFmt w:val="decimal"/>
      <w:lvlText w:val="%2."/>
      <w:lvlJc w:val="left"/>
      <w:pPr>
        <w:tabs>
          <w:tab w:val="num" w:pos="1440"/>
        </w:tabs>
        <w:ind w:left="1440" w:hanging="360"/>
      </w:pPr>
    </w:lvl>
    <w:lvl w:ilvl="2" w:tplc="D2DA962C" w:tentative="1">
      <w:start w:val="1"/>
      <w:numFmt w:val="decimal"/>
      <w:lvlText w:val="%3."/>
      <w:lvlJc w:val="left"/>
      <w:pPr>
        <w:tabs>
          <w:tab w:val="num" w:pos="2160"/>
        </w:tabs>
        <w:ind w:left="2160" w:hanging="360"/>
      </w:pPr>
    </w:lvl>
    <w:lvl w:ilvl="3" w:tplc="BBB0D0B4" w:tentative="1">
      <w:start w:val="1"/>
      <w:numFmt w:val="decimal"/>
      <w:lvlText w:val="%4."/>
      <w:lvlJc w:val="left"/>
      <w:pPr>
        <w:tabs>
          <w:tab w:val="num" w:pos="2880"/>
        </w:tabs>
        <w:ind w:left="2880" w:hanging="360"/>
      </w:pPr>
    </w:lvl>
    <w:lvl w:ilvl="4" w:tplc="1AFC9512" w:tentative="1">
      <w:start w:val="1"/>
      <w:numFmt w:val="decimal"/>
      <w:lvlText w:val="%5."/>
      <w:lvlJc w:val="left"/>
      <w:pPr>
        <w:tabs>
          <w:tab w:val="num" w:pos="3600"/>
        </w:tabs>
        <w:ind w:left="3600" w:hanging="360"/>
      </w:pPr>
    </w:lvl>
    <w:lvl w:ilvl="5" w:tplc="76F29F1C" w:tentative="1">
      <w:start w:val="1"/>
      <w:numFmt w:val="decimal"/>
      <w:lvlText w:val="%6."/>
      <w:lvlJc w:val="left"/>
      <w:pPr>
        <w:tabs>
          <w:tab w:val="num" w:pos="4320"/>
        </w:tabs>
        <w:ind w:left="4320" w:hanging="360"/>
      </w:pPr>
    </w:lvl>
    <w:lvl w:ilvl="6" w:tplc="8A4022AA" w:tentative="1">
      <w:start w:val="1"/>
      <w:numFmt w:val="decimal"/>
      <w:lvlText w:val="%7."/>
      <w:lvlJc w:val="left"/>
      <w:pPr>
        <w:tabs>
          <w:tab w:val="num" w:pos="5040"/>
        </w:tabs>
        <w:ind w:left="5040" w:hanging="360"/>
      </w:pPr>
    </w:lvl>
    <w:lvl w:ilvl="7" w:tplc="4F8C40A0" w:tentative="1">
      <w:start w:val="1"/>
      <w:numFmt w:val="decimal"/>
      <w:lvlText w:val="%8."/>
      <w:lvlJc w:val="left"/>
      <w:pPr>
        <w:tabs>
          <w:tab w:val="num" w:pos="5760"/>
        </w:tabs>
        <w:ind w:left="5760" w:hanging="360"/>
      </w:pPr>
    </w:lvl>
    <w:lvl w:ilvl="8" w:tplc="ABAEDAFE" w:tentative="1">
      <w:start w:val="1"/>
      <w:numFmt w:val="decimal"/>
      <w:lvlText w:val="%9."/>
      <w:lvlJc w:val="left"/>
      <w:pPr>
        <w:tabs>
          <w:tab w:val="num" w:pos="6480"/>
        </w:tabs>
        <w:ind w:left="6480" w:hanging="360"/>
      </w:pPr>
    </w:lvl>
  </w:abstractNum>
  <w:abstractNum w:abstractNumId="13" w15:restartNumberingAfterBreak="0">
    <w:nsid w:val="68195D88"/>
    <w:multiLevelType w:val="multilevel"/>
    <w:tmpl w:val="D1E85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99C58E1"/>
    <w:multiLevelType w:val="multilevel"/>
    <w:tmpl w:val="14DCB2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BE73E8F"/>
    <w:multiLevelType w:val="multilevel"/>
    <w:tmpl w:val="662AE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C302C10"/>
    <w:multiLevelType w:val="multilevel"/>
    <w:tmpl w:val="2A4E4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BE95D15"/>
    <w:multiLevelType w:val="multilevel"/>
    <w:tmpl w:val="6D04AE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9"/>
  </w:num>
  <w:num w:numId="3">
    <w:abstractNumId w:val="2"/>
  </w:num>
  <w:num w:numId="4">
    <w:abstractNumId w:val="13"/>
  </w:num>
  <w:num w:numId="5">
    <w:abstractNumId w:val="16"/>
  </w:num>
  <w:num w:numId="6">
    <w:abstractNumId w:val="17"/>
    <w:lvlOverride w:ilvl="0">
      <w:lvl w:ilvl="0">
        <w:numFmt w:val="decimal"/>
        <w:lvlText w:val="%1."/>
        <w:lvlJc w:val="left"/>
      </w:lvl>
    </w:lvlOverride>
  </w:num>
  <w:num w:numId="7">
    <w:abstractNumId w:val="0"/>
    <w:lvlOverride w:ilvl="0">
      <w:lvl w:ilvl="0">
        <w:numFmt w:val="lowerLetter"/>
        <w:lvlText w:val="%1."/>
        <w:lvlJc w:val="left"/>
      </w:lvl>
    </w:lvlOverride>
  </w:num>
  <w:num w:numId="8">
    <w:abstractNumId w:val="10"/>
  </w:num>
  <w:num w:numId="9">
    <w:abstractNumId w:val="6"/>
  </w:num>
  <w:num w:numId="10">
    <w:abstractNumId w:val="8"/>
  </w:num>
  <w:num w:numId="11">
    <w:abstractNumId w:val="12"/>
  </w:num>
  <w:num w:numId="12">
    <w:abstractNumId w:val="11"/>
    <w:lvlOverride w:ilvl="0">
      <w:lvl w:ilvl="0">
        <w:numFmt w:val="decimal"/>
        <w:lvlText w:val="%1."/>
        <w:lvlJc w:val="left"/>
      </w:lvl>
    </w:lvlOverride>
  </w:num>
  <w:num w:numId="13">
    <w:abstractNumId w:val="7"/>
    <w:lvlOverride w:ilvl="0">
      <w:lvl w:ilvl="0">
        <w:numFmt w:val="lowerLetter"/>
        <w:lvlText w:val="%1."/>
        <w:lvlJc w:val="left"/>
      </w:lvl>
    </w:lvlOverride>
  </w:num>
  <w:num w:numId="14">
    <w:abstractNumId w:val="4"/>
  </w:num>
  <w:num w:numId="15">
    <w:abstractNumId w:val="1"/>
    <w:lvlOverride w:ilvl="0">
      <w:lvl w:ilvl="0">
        <w:numFmt w:val="decimal"/>
        <w:lvlText w:val="%1."/>
        <w:lvlJc w:val="left"/>
      </w:lvl>
    </w:lvlOverride>
  </w:num>
  <w:num w:numId="16">
    <w:abstractNumId w:val="14"/>
    <w:lvlOverride w:ilvl="0">
      <w:lvl w:ilvl="0">
        <w:numFmt w:val="lowerLetter"/>
        <w:lvlText w:val="%1."/>
        <w:lvlJc w:val="left"/>
      </w:lvl>
    </w:lvlOverride>
  </w:num>
  <w:num w:numId="17">
    <w:abstractNumId w:val="5"/>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25A2"/>
    <w:rsid w:val="00266FBA"/>
    <w:rsid w:val="004620FD"/>
    <w:rsid w:val="006C7B8F"/>
    <w:rsid w:val="007B5DA6"/>
    <w:rsid w:val="008C66DF"/>
    <w:rsid w:val="009132E2"/>
    <w:rsid w:val="00934295"/>
    <w:rsid w:val="009E03CD"/>
    <w:rsid w:val="00B530D5"/>
    <w:rsid w:val="00B625A2"/>
    <w:rsid w:val="00BC0560"/>
    <w:rsid w:val="00D454B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2906AF"/>
  <w15:docId w15:val="{40C51BA7-1E55-499C-BA33-1344EFC9F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454B2"/>
    <w:pPr>
      <w:ind w:left="720"/>
      <w:contextualSpacing/>
    </w:pPr>
  </w:style>
  <w:style w:type="paragraph" w:styleId="Sinespaciado">
    <w:name w:val="No Spacing"/>
    <w:link w:val="SinespaciadoCar"/>
    <w:uiPriority w:val="1"/>
    <w:qFormat/>
    <w:rsid w:val="009132E2"/>
    <w:pPr>
      <w:spacing w:after="0" w:line="240" w:lineRule="auto"/>
    </w:pPr>
  </w:style>
  <w:style w:type="character" w:customStyle="1" w:styleId="SinespaciadoCar">
    <w:name w:val="Sin espaciado Car"/>
    <w:link w:val="Sinespaciado"/>
    <w:uiPriority w:val="1"/>
    <w:rsid w:val="009132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3122261">
      <w:bodyDiv w:val="1"/>
      <w:marLeft w:val="0"/>
      <w:marRight w:val="0"/>
      <w:marTop w:val="0"/>
      <w:marBottom w:val="0"/>
      <w:divBdr>
        <w:top w:val="none" w:sz="0" w:space="0" w:color="auto"/>
        <w:left w:val="none" w:sz="0" w:space="0" w:color="auto"/>
        <w:bottom w:val="none" w:sz="0" w:space="0" w:color="auto"/>
        <w:right w:val="none" w:sz="0" w:space="0" w:color="auto"/>
      </w:divBdr>
      <w:divsChild>
        <w:div w:id="1507817281">
          <w:marLeft w:val="-1242"/>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1948969D0FCCF1459172BB5678745B52" ma:contentTypeVersion="11" ma:contentTypeDescription="Crear nuevo documento." ma:contentTypeScope="" ma:versionID="bcada621447712a7266d3d452e7193c0">
  <xsd:schema xmlns:xsd="http://www.w3.org/2001/XMLSchema" xmlns:xs="http://www.w3.org/2001/XMLSchema" xmlns:p="http://schemas.microsoft.com/office/2006/metadata/properties" xmlns:ns3="97116454-1b32-451b-a2aa-ec3dc4166193" xmlns:ns4="2eb6eb9c-861b-4986-aa00-72c84fc5e340" targetNamespace="http://schemas.microsoft.com/office/2006/metadata/properties" ma:root="true" ma:fieldsID="da418e9da7c9b33dc833204870e342fa" ns3:_="" ns4:_="">
    <xsd:import namespace="97116454-1b32-451b-a2aa-ec3dc4166193"/>
    <xsd:import namespace="2eb6eb9c-861b-4986-aa00-72c84fc5e34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116454-1b32-451b-a2aa-ec3dc41661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b6eb9c-861b-4986-aa00-72c84fc5e340"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element name="SharingHintHash" ma:index="18"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23C093-225B-4606-97EC-F33D9033C3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116454-1b32-451b-a2aa-ec3dc4166193"/>
    <ds:schemaRef ds:uri="2eb6eb9c-861b-4986-aa00-72c84fc5e3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A98EC13-8388-440B-8040-C156C96F885E}">
  <ds:schemaRefs>
    <ds:schemaRef ds:uri="http://schemas.microsoft.com/sharepoint/v3/contenttype/forms"/>
  </ds:schemaRefs>
</ds:datastoreItem>
</file>

<file path=customXml/itemProps3.xml><?xml version="1.0" encoding="utf-8"?>
<ds:datastoreItem xmlns:ds="http://schemas.openxmlformats.org/officeDocument/2006/customXml" ds:itemID="{D8F65448-25D2-4130-8A88-D994D92565F8}">
  <ds:schemaRefs>
    <ds:schemaRef ds:uri="http://purl.org/dc/dcmitype/"/>
    <ds:schemaRef ds:uri="http://purl.org/dc/terms/"/>
    <ds:schemaRef ds:uri="http://schemas.microsoft.com/office/2006/metadata/properties"/>
    <ds:schemaRef ds:uri="2eb6eb9c-861b-4986-aa00-72c84fc5e340"/>
    <ds:schemaRef ds:uri="http://purl.org/dc/elements/1.1/"/>
    <ds:schemaRef ds:uri="http://schemas.microsoft.com/office/infopath/2007/PartnerControls"/>
    <ds:schemaRef ds:uri="http://schemas.microsoft.com/office/2006/documentManagement/types"/>
    <ds:schemaRef ds:uri="http://schemas.openxmlformats.org/package/2006/metadata/core-properties"/>
    <ds:schemaRef ds:uri="97116454-1b32-451b-a2aa-ec3dc4166193"/>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4</Pages>
  <Words>1028</Words>
  <Characters>5660</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Maria Elena Gonzalez Hernandez</cp:lastModifiedBy>
  <cp:revision>3</cp:revision>
  <dcterms:created xsi:type="dcterms:W3CDTF">2021-08-29T18:34:00Z</dcterms:created>
  <dcterms:modified xsi:type="dcterms:W3CDTF">2021-08-29T19:07:00Z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0x0101001948969D0FCCF1459172BB5678745B52</vt:lpwstr>
  </property>
</Properties>
</file>