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0573C"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486F9015"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7AF7560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DAD74E2"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0269F0A0"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3540DA9B"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140F33CC"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642C8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B05CFCB" w14:textId="25915811"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660349">
        <w:rPr>
          <w:rFonts w:ascii="Arial" w:eastAsia="Times New Roman" w:hAnsi="Arial" w:cs="Arial"/>
          <w:color w:val="000000"/>
          <w:lang w:eastAsia="es-CO"/>
        </w:rPr>
        <w:t>Iván Alejandro Rincón Riaño</w:t>
      </w:r>
    </w:p>
    <w:p w14:paraId="59018519" w14:textId="0438FFBE"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660349">
        <w:rPr>
          <w:rFonts w:ascii="Arial" w:eastAsia="Times New Roman" w:hAnsi="Arial" w:cs="Arial"/>
          <w:color w:val="000000"/>
          <w:lang w:eastAsia="es-CO"/>
        </w:rPr>
        <w:t>24 de agosto de 2021</w:t>
      </w:r>
      <w:r w:rsidRPr="00BC0560">
        <w:rPr>
          <w:rFonts w:ascii="Arial" w:eastAsia="Times New Roman" w:hAnsi="Arial" w:cs="Arial"/>
          <w:color w:val="000000"/>
          <w:lang w:eastAsia="es-CO"/>
        </w:rPr>
        <w:t> </w:t>
      </w:r>
    </w:p>
    <w:p w14:paraId="2A5BEEB8" w14:textId="77777777"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14:paraId="23E1CC22" w14:textId="68931225" w:rsidR="00BC0560" w:rsidRPr="00BC0560" w:rsidRDefault="00BC0560" w:rsidP="00660349">
      <w:pPr>
        <w:spacing w:after="0" w:line="240" w:lineRule="auto"/>
        <w:ind w:left="-1134" w:firstLine="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660349">
        <w:rPr>
          <w:rFonts w:ascii="Arial" w:eastAsia="Times New Roman" w:hAnsi="Arial" w:cs="Arial"/>
          <w:color w:val="000000"/>
          <w:lang w:eastAsia="es-CO"/>
        </w:rPr>
        <w:t>Javier Menco Morales</w:t>
      </w:r>
    </w:p>
    <w:p w14:paraId="2860EC2D" w14:textId="6E08D250" w:rsidR="00BC0560" w:rsidRDefault="00BC0560" w:rsidP="00660349">
      <w:pPr>
        <w:spacing w:after="0" w:line="240" w:lineRule="auto"/>
        <w:ind w:left="-1134" w:firstLine="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Caja de Sueldos de Retiro de la Policía Nacional </w:t>
      </w:r>
    </w:p>
    <w:p w14:paraId="6379441E" w14:textId="77777777" w:rsidR="00660349" w:rsidRDefault="00660349" w:rsidP="00660349">
      <w:pPr>
        <w:spacing w:after="0" w:line="240" w:lineRule="auto"/>
        <w:ind w:left="-1134" w:firstLine="1134"/>
        <w:rPr>
          <w:rFonts w:ascii="Arial" w:eastAsia="Times New Roman" w:hAnsi="Arial" w:cs="Arial"/>
          <w:color w:val="000000"/>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1A15274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58E81"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59A8AA2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6956CD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1D7D74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0FACB5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60578106"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17FDBAD8" w14:textId="20D04CA7" w:rsidR="00B530D5" w:rsidRPr="00660349" w:rsidRDefault="00B530D5" w:rsidP="00BC0560">
            <w:pPr>
              <w:spacing w:after="240" w:line="240" w:lineRule="auto"/>
              <w:rPr>
                <w:rFonts w:ascii="Arial" w:eastAsia="Times New Roman" w:hAnsi="Arial" w:cs="Arial"/>
                <w:bCs/>
                <w:sz w:val="24"/>
                <w:szCs w:val="24"/>
                <w:lang w:eastAsia="es-CO"/>
              </w:rPr>
            </w:pPr>
            <w:r w:rsidRPr="0020796A">
              <w:rPr>
                <w:rFonts w:ascii="Arial" w:eastAsia="Times New Roman" w:hAnsi="Arial" w:cs="Arial"/>
                <w:b/>
                <w:bCs/>
                <w:sz w:val="24"/>
                <w:szCs w:val="24"/>
                <w:lang w:eastAsia="es-CO"/>
              </w:rPr>
              <w:t>R</w:t>
            </w:r>
            <w:r w:rsidR="00660349" w:rsidRPr="0020796A">
              <w:rPr>
                <w:rFonts w:ascii="Arial" w:eastAsia="Times New Roman" w:hAnsi="Arial" w:cs="Arial"/>
                <w:b/>
                <w:bCs/>
                <w:sz w:val="24"/>
                <w:szCs w:val="24"/>
                <w:lang w:eastAsia="es-CO"/>
              </w:rPr>
              <w:t>espuesta:</w:t>
            </w:r>
            <w:r w:rsidR="00660349">
              <w:rPr>
                <w:rFonts w:ascii="Arial" w:eastAsia="Times New Roman" w:hAnsi="Arial" w:cs="Arial"/>
                <w:bCs/>
                <w:sz w:val="24"/>
                <w:szCs w:val="24"/>
                <w:lang w:eastAsia="es-CO"/>
              </w:rPr>
              <w:t xml:space="preserve"> El traslado para la contestación de la demanda feneció en silencio. La entidad la no propuso excepciones previas.</w:t>
            </w:r>
          </w:p>
          <w:p w14:paraId="7BF5A70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7FA6E9A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0E579"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29C0378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1E6D4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00537B6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B24895" w14:textId="5A32D91A"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sidR="00660349">
              <w:rPr>
                <w:rFonts w:ascii="Arial" w:eastAsia="Times New Roman" w:hAnsi="Arial" w:cs="Arial"/>
                <w:color w:val="000000"/>
                <w:lang w:eastAsia="es-CO"/>
              </w:rPr>
              <w:t>X</w:t>
            </w:r>
            <w:r w:rsidRPr="00BC0560">
              <w:rPr>
                <w:rFonts w:ascii="Arial" w:eastAsia="Times New Roman" w:hAnsi="Arial" w:cs="Arial"/>
                <w:i/>
                <w:iCs/>
                <w:color w:val="000000"/>
                <w:lang w:eastAsia="es-CO"/>
              </w:rPr>
              <w:t xml:space="preserve">  </w:t>
            </w:r>
          </w:p>
          <w:p w14:paraId="5B97430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4F2ABDF" w14:textId="65192ACD"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w:t>
            </w:r>
            <w:r w:rsidR="00660349">
              <w:rPr>
                <w:rFonts w:ascii="Arial" w:eastAsia="Times New Roman" w:hAnsi="Arial" w:cs="Arial"/>
                <w:i/>
                <w:iCs/>
                <w:color w:val="000000"/>
                <w:lang w:eastAsia="es-CO"/>
              </w:rPr>
              <w:t xml:space="preserve"> </w:t>
            </w:r>
            <w:r w:rsidR="00660349" w:rsidRPr="00660349">
              <w:rPr>
                <w:rFonts w:ascii="Arial" w:eastAsia="Times New Roman" w:hAnsi="Arial" w:cs="Arial"/>
                <w:color w:val="000000"/>
                <w:lang w:eastAsia="es-CO"/>
              </w:rPr>
              <w:t>X</w:t>
            </w:r>
            <w:r w:rsidRPr="00BC0560">
              <w:rPr>
                <w:rFonts w:ascii="Arial" w:eastAsia="Times New Roman" w:hAnsi="Arial" w:cs="Arial"/>
                <w:i/>
                <w:iCs/>
                <w:color w:val="000000"/>
                <w:lang w:eastAsia="es-CO"/>
              </w:rPr>
              <w:t> </w:t>
            </w:r>
          </w:p>
          <w:p w14:paraId="7CB8656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917D127" w14:textId="75223114"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sidR="00660349">
              <w:rPr>
                <w:rFonts w:ascii="Arial" w:eastAsia="Times New Roman" w:hAnsi="Arial" w:cs="Arial"/>
                <w:i/>
                <w:iCs/>
                <w:color w:val="000000"/>
                <w:lang w:eastAsia="es-CO"/>
              </w:rPr>
              <w:t xml:space="preserve"> </w:t>
            </w:r>
            <w:proofErr w:type="gramEnd"/>
            <w:r w:rsidR="00660349" w:rsidRPr="00660349">
              <w:rPr>
                <w:rFonts w:ascii="Arial" w:eastAsia="Times New Roman" w:hAnsi="Arial" w:cs="Arial"/>
                <w:color w:val="000000"/>
                <w:lang w:eastAsia="es-CO"/>
              </w:rPr>
              <w:t>X</w:t>
            </w:r>
            <w:r w:rsidR="00660349" w:rsidRPr="00BC0560">
              <w:rPr>
                <w:rFonts w:ascii="Arial" w:eastAsia="Times New Roman" w:hAnsi="Arial" w:cs="Arial"/>
                <w:i/>
                <w:iCs/>
                <w:color w:val="000000"/>
                <w:lang w:eastAsia="es-CO"/>
              </w:rPr>
              <w:t> </w:t>
            </w:r>
          </w:p>
          <w:p w14:paraId="31BF94D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BCF2FD"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74C29E50" w14:textId="365850D8" w:rsidR="00BC0560" w:rsidRPr="00BC0560" w:rsidRDefault="00660349" w:rsidP="00BC0560">
            <w:pPr>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 </w:t>
            </w:r>
          </w:p>
          <w:p w14:paraId="69404B10"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628C832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3901695"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Proferir auto donde debe pronunciarse sobre las pruebas cuando a ello hubiere lugar, aplicando el artículo 173 del CGP. </w:t>
            </w:r>
          </w:p>
          <w:p w14:paraId="09BF1A70"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365F908"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7A0F602D" w14:textId="2255980B" w:rsidR="00D454B2" w:rsidRPr="00660349" w:rsidRDefault="00D454B2" w:rsidP="00D454B2">
            <w:pPr>
              <w:spacing w:after="0" w:line="240" w:lineRule="auto"/>
              <w:jc w:val="both"/>
              <w:rPr>
                <w:rFonts w:ascii="Arial" w:eastAsia="Times New Roman" w:hAnsi="Arial" w:cs="Arial"/>
                <w:bCs/>
                <w:sz w:val="24"/>
                <w:szCs w:val="24"/>
                <w:lang w:eastAsia="es-CO"/>
              </w:rPr>
            </w:pPr>
            <w:r w:rsidRPr="0020796A">
              <w:rPr>
                <w:rFonts w:ascii="Arial" w:eastAsia="Times New Roman" w:hAnsi="Arial" w:cs="Arial"/>
                <w:b/>
                <w:sz w:val="24"/>
                <w:szCs w:val="24"/>
                <w:lang w:eastAsia="es-CO"/>
              </w:rPr>
              <w:t>R</w:t>
            </w:r>
            <w:r w:rsidR="00660349" w:rsidRPr="0020796A">
              <w:rPr>
                <w:rFonts w:ascii="Arial" w:eastAsia="Times New Roman" w:hAnsi="Arial" w:cs="Arial"/>
                <w:b/>
                <w:sz w:val="24"/>
                <w:szCs w:val="24"/>
                <w:lang w:eastAsia="es-CO"/>
              </w:rPr>
              <w:t>espuesta:</w:t>
            </w:r>
            <w:r w:rsidRPr="00660349">
              <w:rPr>
                <w:rFonts w:ascii="Arial" w:eastAsia="Times New Roman" w:hAnsi="Arial" w:cs="Arial"/>
                <w:bCs/>
                <w:sz w:val="24"/>
                <w:szCs w:val="24"/>
                <w:lang w:eastAsia="es-CO"/>
              </w:rPr>
              <w:t xml:space="preserve"> </w:t>
            </w:r>
            <w:r w:rsidR="00660349">
              <w:rPr>
                <w:rFonts w:ascii="Arial" w:eastAsia="Times New Roman" w:hAnsi="Arial" w:cs="Arial"/>
                <w:bCs/>
                <w:sz w:val="24"/>
                <w:szCs w:val="24"/>
                <w:lang w:eastAsia="es-CO"/>
              </w:rPr>
              <w:t>Se dictó auto el cual se encuentra ejecutoriada y debidamente notificado</w:t>
            </w:r>
            <w:r w:rsidRPr="00660349">
              <w:rPr>
                <w:rFonts w:ascii="Arial" w:eastAsia="Times New Roman" w:hAnsi="Arial" w:cs="Arial"/>
                <w:bCs/>
                <w:sz w:val="24"/>
                <w:szCs w:val="24"/>
                <w:lang w:eastAsia="es-CO"/>
              </w:rPr>
              <w:t>.</w:t>
            </w:r>
          </w:p>
          <w:p w14:paraId="3AE987FF"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2C131FF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74BE613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6A5031A" w14:textId="77777777"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✓___</w:t>
            </w:r>
          </w:p>
          <w:p w14:paraId="4374E13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5F12D4F" w14:textId="77777777"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14:paraId="4064153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A8F30B4"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424C530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51A84D2"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65662C20"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1BB7BE8A"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731571B9" w14:textId="214A0962" w:rsidR="00BC0560" w:rsidRPr="0020796A" w:rsidRDefault="009E03CD" w:rsidP="009E03CD">
            <w:pPr>
              <w:spacing w:after="0" w:line="240" w:lineRule="auto"/>
              <w:jc w:val="both"/>
              <w:rPr>
                <w:rFonts w:ascii="Arial" w:eastAsia="Times New Roman" w:hAnsi="Arial" w:cs="Arial"/>
                <w:bCs/>
                <w:color w:val="000000"/>
                <w:sz w:val="24"/>
                <w:szCs w:val="24"/>
                <w:lang w:eastAsia="es-CO"/>
              </w:rPr>
            </w:pPr>
            <w:r w:rsidRPr="0020796A">
              <w:rPr>
                <w:rFonts w:ascii="Arial" w:eastAsia="Times New Roman" w:hAnsi="Arial" w:cs="Arial"/>
                <w:b/>
                <w:color w:val="000000"/>
                <w:sz w:val="24"/>
                <w:szCs w:val="24"/>
                <w:lang w:eastAsia="es-CO"/>
              </w:rPr>
              <w:t>R</w:t>
            </w:r>
            <w:r w:rsidR="0020796A" w:rsidRPr="0020796A">
              <w:rPr>
                <w:rFonts w:ascii="Arial" w:eastAsia="Times New Roman" w:hAnsi="Arial" w:cs="Arial"/>
                <w:b/>
                <w:color w:val="000000"/>
                <w:sz w:val="24"/>
                <w:szCs w:val="24"/>
                <w:lang w:eastAsia="es-CO"/>
              </w:rPr>
              <w:t>espuesta:</w:t>
            </w:r>
            <w:r w:rsidRPr="0020796A">
              <w:rPr>
                <w:rFonts w:ascii="Arial" w:eastAsia="Times New Roman" w:hAnsi="Arial" w:cs="Arial"/>
                <w:bCs/>
                <w:color w:val="000000"/>
                <w:sz w:val="24"/>
                <w:szCs w:val="24"/>
                <w:lang w:eastAsia="es-CO"/>
              </w:rPr>
              <w:t xml:space="preserve"> </w:t>
            </w:r>
            <w:r w:rsidR="0020796A">
              <w:rPr>
                <w:rFonts w:ascii="Arial" w:eastAsia="Times New Roman" w:hAnsi="Arial" w:cs="Arial"/>
                <w:bCs/>
                <w:color w:val="000000"/>
                <w:sz w:val="24"/>
                <w:szCs w:val="24"/>
                <w:lang w:eastAsia="es-CO"/>
              </w:rPr>
              <w:t xml:space="preserve">Se descorrió en término el </w:t>
            </w:r>
            <w:r w:rsidRPr="0020796A">
              <w:rPr>
                <w:rFonts w:ascii="Arial" w:eastAsia="Times New Roman" w:hAnsi="Arial" w:cs="Arial"/>
                <w:bCs/>
                <w:color w:val="000000"/>
                <w:sz w:val="24"/>
                <w:szCs w:val="24"/>
                <w:lang w:eastAsia="es-CO"/>
              </w:rPr>
              <w:t xml:space="preserve">traslado </w:t>
            </w:r>
            <w:r w:rsidR="0020796A">
              <w:rPr>
                <w:rFonts w:ascii="Arial" w:eastAsia="Times New Roman" w:hAnsi="Arial" w:cs="Arial"/>
                <w:bCs/>
                <w:color w:val="000000"/>
                <w:sz w:val="24"/>
                <w:szCs w:val="24"/>
                <w:lang w:eastAsia="es-CO"/>
              </w:rPr>
              <w:t>para alegar de conclusión. Se dictó sentencia anticipada negando las pretensiones formuladas. Decisión recurrida en apelación</w:t>
            </w:r>
          </w:p>
          <w:p w14:paraId="18B8ABE3"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5F949872"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F4CE4"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0015A5C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98508F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5FB712B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0D5552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1D45A4D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3D2550E"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0715B85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lastRenderedPageBreak/>
              <w:br/>
            </w:r>
          </w:p>
          <w:p w14:paraId="674E2C5C"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3D08B33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1CF3C9D"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5655166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94905D9"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2172118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0181F26"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286FAEE0"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53BACBAD"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93BC8"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116756D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47BB1F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58669F6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3FF04D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196AA48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2B3757EB"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053489A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B9240E8"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44D0F1A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D45B2F"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710E14B1"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248F21"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5593B25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E2C92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2EF4D1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11943E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414DE72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4A9A9E5"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Se dictará sentencia anticipada de manera inmediata, en aplicación del artículo </w:t>
            </w:r>
            <w:r w:rsidRPr="00BC0560">
              <w:rPr>
                <w:rFonts w:ascii="Arial" w:eastAsia="Times New Roman" w:hAnsi="Arial" w:cs="Arial"/>
                <w:color w:val="000000"/>
                <w:lang w:eastAsia="es-CO"/>
              </w:rPr>
              <w:lastRenderedPageBreak/>
              <w:t>176 del CPACA; pero</w:t>
            </w:r>
          </w:p>
          <w:p w14:paraId="5BE79C9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5F703EDA"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702808C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AE5EDD2"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71E17338"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43CB320"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5A2"/>
    <w:rsid w:val="0020796A"/>
    <w:rsid w:val="00660349"/>
    <w:rsid w:val="008338F4"/>
    <w:rsid w:val="008C66D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9B26"/>
  <w15:docId w15:val="{7EDBAEE2-46E7-4B5E-9280-0D90DA4E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5365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 RINCON FRANCO</cp:lastModifiedBy>
  <cp:revision>2</cp:revision>
  <dcterms:created xsi:type="dcterms:W3CDTF">2021-08-24T17:42:00Z</dcterms:created>
  <dcterms:modified xsi:type="dcterms:W3CDTF">2021-08-24T17:42:00Z</dcterms:modified>
</cp:coreProperties>
</file>