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9DCCF" w14:textId="77777777" w:rsidR="000648EC" w:rsidRPr="005F44E8" w:rsidRDefault="000648EC" w:rsidP="000648EC">
      <w:pPr>
        <w:pStyle w:val="Ttulo2"/>
        <w:jc w:val="center"/>
        <w:rPr>
          <w:rFonts w:ascii="Arial" w:hAnsi="Arial" w:cs="Arial"/>
          <w:b w:val="0"/>
          <w:bCs w:val="0"/>
          <w:i w:val="0"/>
          <w:sz w:val="24"/>
          <w:szCs w:val="24"/>
          <w:lang w:eastAsia="es-ES"/>
        </w:rPr>
      </w:pPr>
      <w:bookmarkStart w:id="0" w:name="_Hlk56747480"/>
      <w:r w:rsidRPr="005F44E8">
        <w:rPr>
          <w:rFonts w:ascii="Arial" w:hAnsi="Arial" w:cs="Arial"/>
          <w:i w:val="0"/>
          <w:sz w:val="24"/>
          <w:szCs w:val="24"/>
        </w:rPr>
        <w:t>CONSEJO DE ESTADO</w:t>
      </w:r>
    </w:p>
    <w:p w14:paraId="47C8C019" w14:textId="77777777" w:rsidR="000648EC" w:rsidRPr="005F44E8" w:rsidRDefault="000648EC" w:rsidP="000648EC">
      <w:pPr>
        <w:widowControl w:val="0"/>
        <w:spacing w:line="276" w:lineRule="auto"/>
        <w:jc w:val="center"/>
        <w:rPr>
          <w:rFonts w:ascii="Arial" w:hAnsi="Arial" w:cs="Arial"/>
          <w:b/>
          <w:bCs/>
          <w:sz w:val="24"/>
          <w:szCs w:val="24"/>
        </w:rPr>
      </w:pPr>
      <w:r w:rsidRPr="005F44E8">
        <w:rPr>
          <w:rFonts w:ascii="Arial" w:hAnsi="Arial" w:cs="Arial"/>
          <w:b/>
          <w:bCs/>
          <w:sz w:val="24"/>
          <w:szCs w:val="24"/>
        </w:rPr>
        <w:t>SALA DE LO CONTENCIOSO ADMINISTRATIVO</w:t>
      </w:r>
    </w:p>
    <w:p w14:paraId="7B7E632F" w14:textId="77777777" w:rsidR="000648EC" w:rsidRPr="005F44E8" w:rsidRDefault="000648EC" w:rsidP="000648EC">
      <w:pPr>
        <w:widowControl w:val="0"/>
        <w:spacing w:line="276" w:lineRule="auto"/>
        <w:jc w:val="center"/>
        <w:rPr>
          <w:rFonts w:ascii="Arial" w:hAnsi="Arial" w:cs="Arial"/>
          <w:b/>
          <w:bCs/>
          <w:sz w:val="24"/>
          <w:szCs w:val="24"/>
        </w:rPr>
      </w:pPr>
      <w:r w:rsidRPr="005F44E8">
        <w:rPr>
          <w:rFonts w:ascii="Arial" w:hAnsi="Arial" w:cs="Arial"/>
          <w:b/>
          <w:bCs/>
          <w:sz w:val="24"/>
          <w:szCs w:val="24"/>
        </w:rPr>
        <w:t>SECCIÓN QUINTA</w:t>
      </w:r>
    </w:p>
    <w:p w14:paraId="3AAFF5B0" w14:textId="77777777" w:rsidR="000648EC" w:rsidRPr="005F44E8" w:rsidRDefault="000648EC" w:rsidP="000648EC">
      <w:pPr>
        <w:widowControl w:val="0"/>
        <w:spacing w:line="276" w:lineRule="auto"/>
        <w:jc w:val="center"/>
        <w:rPr>
          <w:rFonts w:ascii="Arial" w:hAnsi="Arial" w:cs="Arial"/>
          <w:sz w:val="24"/>
          <w:szCs w:val="24"/>
        </w:rPr>
      </w:pPr>
    </w:p>
    <w:p w14:paraId="0B714545" w14:textId="05C4861F" w:rsidR="000648EC" w:rsidRPr="005F44E8" w:rsidRDefault="000648EC" w:rsidP="000648EC">
      <w:pPr>
        <w:widowControl w:val="0"/>
        <w:spacing w:line="276" w:lineRule="auto"/>
        <w:jc w:val="center"/>
        <w:rPr>
          <w:rFonts w:ascii="Arial" w:hAnsi="Arial" w:cs="Arial"/>
          <w:b/>
          <w:bCs/>
          <w:sz w:val="24"/>
          <w:szCs w:val="24"/>
        </w:rPr>
      </w:pPr>
      <w:r w:rsidRPr="005F44E8">
        <w:rPr>
          <w:rFonts w:ascii="Arial" w:hAnsi="Arial" w:cs="Arial"/>
          <w:b/>
          <w:bCs/>
          <w:sz w:val="24"/>
          <w:szCs w:val="24"/>
        </w:rPr>
        <w:t xml:space="preserve">Magistrado Ponente: </w:t>
      </w:r>
      <w:r w:rsidR="001722C6">
        <w:rPr>
          <w:rFonts w:ascii="Arial" w:hAnsi="Arial" w:cs="Arial"/>
          <w:b/>
          <w:bCs/>
          <w:sz w:val="24"/>
          <w:szCs w:val="24"/>
        </w:rPr>
        <w:t>XXXXX</w:t>
      </w:r>
    </w:p>
    <w:p w14:paraId="137B23DD" w14:textId="77777777" w:rsidR="000648EC" w:rsidRPr="005F44E8" w:rsidRDefault="000648EC" w:rsidP="000648EC">
      <w:pPr>
        <w:widowControl w:val="0"/>
        <w:spacing w:line="276" w:lineRule="auto"/>
        <w:jc w:val="center"/>
        <w:rPr>
          <w:rFonts w:ascii="Arial" w:hAnsi="Arial" w:cs="Arial"/>
          <w:b/>
          <w:bCs/>
          <w:sz w:val="24"/>
          <w:szCs w:val="24"/>
        </w:rPr>
      </w:pPr>
    </w:p>
    <w:p w14:paraId="3A03AD55" w14:textId="3FB5CA55" w:rsidR="000648EC" w:rsidRPr="005F44E8" w:rsidRDefault="000648EC" w:rsidP="000648EC">
      <w:pPr>
        <w:tabs>
          <w:tab w:val="center" w:pos="4420"/>
          <w:tab w:val="left" w:pos="6135"/>
        </w:tabs>
        <w:spacing w:line="276" w:lineRule="auto"/>
        <w:jc w:val="center"/>
        <w:rPr>
          <w:rFonts w:ascii="Arial" w:hAnsi="Arial" w:cs="Arial"/>
          <w:sz w:val="24"/>
          <w:szCs w:val="24"/>
        </w:rPr>
      </w:pPr>
      <w:r w:rsidRPr="005F44E8">
        <w:rPr>
          <w:rFonts w:ascii="Arial" w:hAnsi="Arial" w:cs="Arial"/>
          <w:sz w:val="24"/>
          <w:szCs w:val="24"/>
        </w:rPr>
        <w:t xml:space="preserve">Bogotá D.C., </w:t>
      </w:r>
      <w:r w:rsidR="001722C6">
        <w:rPr>
          <w:rFonts w:ascii="Arial" w:hAnsi="Arial" w:cs="Arial"/>
          <w:sz w:val="24"/>
          <w:szCs w:val="24"/>
        </w:rPr>
        <w:t xml:space="preserve">veintitrés </w:t>
      </w:r>
      <w:r w:rsidRPr="005F44E8">
        <w:rPr>
          <w:rFonts w:ascii="Arial" w:hAnsi="Arial" w:cs="Arial"/>
          <w:sz w:val="24"/>
          <w:szCs w:val="24"/>
        </w:rPr>
        <w:t>(</w:t>
      </w:r>
      <w:r w:rsidR="001722C6">
        <w:rPr>
          <w:rFonts w:ascii="Arial" w:hAnsi="Arial" w:cs="Arial"/>
          <w:sz w:val="24"/>
          <w:szCs w:val="24"/>
        </w:rPr>
        <w:t>23</w:t>
      </w:r>
      <w:r w:rsidRPr="005F44E8">
        <w:rPr>
          <w:rFonts w:ascii="Arial" w:hAnsi="Arial" w:cs="Arial"/>
          <w:sz w:val="24"/>
          <w:szCs w:val="24"/>
        </w:rPr>
        <w:t xml:space="preserve">) de </w:t>
      </w:r>
      <w:r w:rsidR="001722C6">
        <w:rPr>
          <w:rFonts w:ascii="Arial" w:hAnsi="Arial" w:cs="Arial"/>
          <w:sz w:val="24"/>
          <w:szCs w:val="24"/>
        </w:rPr>
        <w:t>agosto</w:t>
      </w:r>
      <w:r w:rsidRPr="005F44E8">
        <w:rPr>
          <w:rFonts w:ascii="Arial" w:hAnsi="Arial" w:cs="Arial"/>
          <w:sz w:val="24"/>
          <w:szCs w:val="24"/>
        </w:rPr>
        <w:t xml:space="preserve"> de </w:t>
      </w:r>
      <w:proofErr w:type="gramStart"/>
      <w:r w:rsidRPr="005F44E8">
        <w:rPr>
          <w:rFonts w:ascii="Arial" w:hAnsi="Arial" w:cs="Arial"/>
          <w:sz w:val="24"/>
          <w:szCs w:val="24"/>
        </w:rPr>
        <w:t>dos mil veintiuno</w:t>
      </w:r>
      <w:proofErr w:type="gramEnd"/>
      <w:r w:rsidRPr="005F44E8">
        <w:rPr>
          <w:rFonts w:ascii="Arial" w:hAnsi="Arial" w:cs="Arial"/>
          <w:sz w:val="24"/>
          <w:szCs w:val="24"/>
        </w:rPr>
        <w:t xml:space="preserve"> (2021)</w:t>
      </w:r>
    </w:p>
    <w:p w14:paraId="3A1D7B55" w14:textId="77777777" w:rsidR="000648EC" w:rsidRPr="005F44E8" w:rsidRDefault="000648EC" w:rsidP="000648EC">
      <w:pPr>
        <w:tabs>
          <w:tab w:val="left" w:pos="3540"/>
        </w:tabs>
        <w:spacing w:line="276" w:lineRule="auto"/>
        <w:rPr>
          <w:rFonts w:ascii="Arial" w:hAnsi="Arial" w:cs="Arial"/>
          <w:sz w:val="24"/>
          <w:szCs w:val="24"/>
        </w:rPr>
      </w:pPr>
      <w:r w:rsidRPr="005F44E8">
        <w:rPr>
          <w:rFonts w:ascii="Arial" w:hAnsi="Arial" w:cs="Arial"/>
          <w:sz w:val="24"/>
          <w:szCs w:val="24"/>
        </w:rPr>
        <w:t xml:space="preserve"> </w:t>
      </w:r>
    </w:p>
    <w:p w14:paraId="18114379" w14:textId="77777777" w:rsidR="000648EC" w:rsidRPr="005F44E8" w:rsidRDefault="000648EC" w:rsidP="000648EC">
      <w:pPr>
        <w:tabs>
          <w:tab w:val="left" w:pos="3645"/>
        </w:tabs>
        <w:spacing w:line="276" w:lineRule="auto"/>
        <w:jc w:val="both"/>
        <w:rPr>
          <w:rFonts w:ascii="Arial" w:hAnsi="Arial" w:cs="Arial"/>
          <w:sz w:val="24"/>
          <w:szCs w:val="24"/>
        </w:rPr>
      </w:pPr>
      <w:r w:rsidRPr="005F44E8">
        <w:rPr>
          <w:rFonts w:ascii="Arial" w:hAnsi="Arial" w:cs="Arial"/>
          <w:b/>
          <w:sz w:val="24"/>
          <w:szCs w:val="24"/>
        </w:rPr>
        <w:t xml:space="preserve">Referencia:             </w:t>
      </w:r>
      <w:r w:rsidRPr="005F44E8">
        <w:rPr>
          <w:rFonts w:ascii="Arial" w:hAnsi="Arial" w:cs="Arial"/>
          <w:sz w:val="24"/>
          <w:szCs w:val="24"/>
        </w:rPr>
        <w:t>NULIDAD ELECTORAL</w:t>
      </w:r>
    </w:p>
    <w:p w14:paraId="69563965" w14:textId="77777777" w:rsidR="000648EC" w:rsidRPr="005F44E8" w:rsidRDefault="000648EC" w:rsidP="000648EC">
      <w:pPr>
        <w:tabs>
          <w:tab w:val="left" w:pos="3645"/>
        </w:tabs>
        <w:spacing w:line="276" w:lineRule="auto"/>
        <w:ind w:right="-426"/>
        <w:rPr>
          <w:rFonts w:ascii="Arial" w:hAnsi="Arial" w:cs="Arial"/>
          <w:sz w:val="24"/>
          <w:szCs w:val="24"/>
        </w:rPr>
      </w:pPr>
      <w:r w:rsidRPr="005F44E8">
        <w:rPr>
          <w:rFonts w:ascii="Arial" w:hAnsi="Arial" w:cs="Arial"/>
          <w:b/>
          <w:sz w:val="24"/>
          <w:szCs w:val="24"/>
        </w:rPr>
        <w:t xml:space="preserve">Radicación No.:     </w:t>
      </w:r>
      <w:r w:rsidRPr="005F44E8">
        <w:rPr>
          <w:rFonts w:ascii="Arial" w:hAnsi="Arial" w:cs="Arial"/>
          <w:sz w:val="24"/>
          <w:szCs w:val="24"/>
          <w:lang w:val="es-ES" w:eastAsia="es-ES"/>
        </w:rPr>
        <w:t>11001-03-28-000-2020-00060-00</w:t>
      </w:r>
    </w:p>
    <w:p w14:paraId="2BE4B9A0" w14:textId="77777777" w:rsidR="000648EC" w:rsidRPr="005F44E8" w:rsidRDefault="000648EC" w:rsidP="000648EC">
      <w:pPr>
        <w:spacing w:line="276" w:lineRule="auto"/>
        <w:ind w:left="2127" w:hanging="2127"/>
        <w:jc w:val="both"/>
        <w:rPr>
          <w:rFonts w:ascii="Arial" w:hAnsi="Arial" w:cs="Arial"/>
          <w:b/>
          <w:sz w:val="24"/>
          <w:szCs w:val="24"/>
        </w:rPr>
      </w:pPr>
      <w:r w:rsidRPr="005F44E8">
        <w:rPr>
          <w:rFonts w:ascii="Arial" w:hAnsi="Arial" w:cs="Arial"/>
          <w:b/>
          <w:sz w:val="24"/>
          <w:szCs w:val="24"/>
        </w:rPr>
        <w:t>Demandante:</w:t>
      </w:r>
      <w:r w:rsidRPr="005F44E8">
        <w:rPr>
          <w:rFonts w:ascii="Arial" w:hAnsi="Arial" w:cs="Arial"/>
          <w:b/>
          <w:sz w:val="24"/>
          <w:szCs w:val="24"/>
        </w:rPr>
        <w:tab/>
      </w:r>
      <w:r w:rsidRPr="005F44E8">
        <w:rPr>
          <w:rFonts w:ascii="Arial" w:hAnsi="Arial" w:cs="Arial"/>
          <w:sz w:val="24"/>
          <w:szCs w:val="24"/>
          <w:lang w:val="es-ES" w:eastAsia="es-ES"/>
        </w:rPr>
        <w:t>EDUARDO ANTONIO GARCÍA VEGA</w:t>
      </w:r>
    </w:p>
    <w:p w14:paraId="00B1F21D" w14:textId="2F49620F" w:rsidR="000648EC" w:rsidRPr="005F44E8" w:rsidRDefault="000648EC" w:rsidP="000648EC">
      <w:pPr>
        <w:spacing w:line="276" w:lineRule="auto"/>
        <w:ind w:left="2127" w:hanging="2127"/>
        <w:jc w:val="both"/>
        <w:rPr>
          <w:rFonts w:ascii="Arial" w:hAnsi="Arial" w:cs="Arial"/>
          <w:b/>
          <w:sz w:val="24"/>
          <w:szCs w:val="24"/>
        </w:rPr>
      </w:pPr>
      <w:r w:rsidRPr="005F44E8">
        <w:rPr>
          <w:rFonts w:ascii="Arial" w:hAnsi="Arial" w:cs="Arial"/>
          <w:b/>
          <w:sz w:val="24"/>
          <w:szCs w:val="24"/>
        </w:rPr>
        <w:t xml:space="preserve">Demandados:   </w:t>
      </w:r>
      <w:r w:rsidRPr="005F44E8">
        <w:rPr>
          <w:rFonts w:ascii="Arial" w:hAnsi="Arial" w:cs="Arial"/>
          <w:b/>
          <w:sz w:val="24"/>
          <w:szCs w:val="24"/>
        </w:rPr>
        <w:tab/>
      </w:r>
      <w:r w:rsidRPr="005F44E8">
        <w:rPr>
          <w:rFonts w:ascii="Arial" w:hAnsi="Arial" w:cs="Arial"/>
          <w:sz w:val="24"/>
          <w:szCs w:val="24"/>
          <w:lang w:val="es-ES" w:eastAsia="es-ES"/>
        </w:rPr>
        <w:t>FIDEL QUINTO MOSQUERA Y JUAN DIEGO CASTRILLÓN ORREGO</w:t>
      </w:r>
      <w:r w:rsidRPr="005F44E8">
        <w:rPr>
          <w:rFonts w:ascii="Arial" w:hAnsi="Arial" w:cs="Arial"/>
          <w:b/>
          <w:sz w:val="24"/>
          <w:szCs w:val="24"/>
          <w:lang w:val="es-ES" w:eastAsia="es-ES"/>
        </w:rPr>
        <w:t xml:space="preserve"> </w:t>
      </w:r>
      <w:r w:rsidRPr="005F44E8">
        <w:rPr>
          <w:rFonts w:ascii="Arial" w:hAnsi="Arial" w:cs="Arial"/>
          <w:bCs/>
          <w:sz w:val="24"/>
          <w:szCs w:val="24"/>
          <w:lang w:val="es-ES" w:eastAsia="es-ES"/>
        </w:rPr>
        <w:t xml:space="preserve">– REPRESENTANTES PRINCIPAL Y SUPLENTE DE LOS EX-RECTORES ANTE EL CONSEJO SUPERIOR DE LA UNIVERSIDAD DEL PACÍFICO  </w:t>
      </w:r>
    </w:p>
    <w:p w14:paraId="45A204D9" w14:textId="77777777" w:rsidR="000648EC" w:rsidRPr="005F44E8" w:rsidRDefault="000648EC" w:rsidP="000648EC">
      <w:pPr>
        <w:tabs>
          <w:tab w:val="left" w:pos="1985"/>
        </w:tabs>
        <w:ind w:right="51"/>
        <w:jc w:val="both"/>
        <w:rPr>
          <w:rFonts w:ascii="Arial" w:hAnsi="Arial" w:cs="Arial"/>
          <w:b/>
          <w:sz w:val="24"/>
          <w:szCs w:val="24"/>
        </w:rPr>
      </w:pPr>
    </w:p>
    <w:p w14:paraId="73A0C927" w14:textId="3DC98BC5" w:rsidR="000648EC" w:rsidRPr="005F44E8" w:rsidRDefault="000648EC" w:rsidP="000648EC">
      <w:pPr>
        <w:tabs>
          <w:tab w:val="left" w:pos="1985"/>
        </w:tabs>
        <w:ind w:left="2124" w:right="51" w:hanging="2124"/>
        <w:jc w:val="both"/>
        <w:rPr>
          <w:rFonts w:ascii="Arial" w:hAnsi="Arial" w:cs="Arial"/>
          <w:sz w:val="24"/>
          <w:szCs w:val="24"/>
        </w:rPr>
      </w:pPr>
      <w:r w:rsidRPr="005F44E8">
        <w:rPr>
          <w:rFonts w:ascii="Arial" w:hAnsi="Arial" w:cs="Arial"/>
          <w:b/>
          <w:sz w:val="24"/>
          <w:szCs w:val="24"/>
        </w:rPr>
        <w:t>Tema:</w:t>
      </w:r>
      <w:r w:rsidRPr="005F44E8">
        <w:rPr>
          <w:rFonts w:ascii="Arial" w:hAnsi="Arial" w:cs="Arial"/>
          <w:sz w:val="24"/>
          <w:szCs w:val="24"/>
        </w:rPr>
        <w:t xml:space="preserve"> </w:t>
      </w:r>
      <w:r w:rsidRPr="005F44E8">
        <w:rPr>
          <w:rFonts w:ascii="Arial" w:hAnsi="Arial" w:cs="Arial"/>
          <w:sz w:val="24"/>
          <w:szCs w:val="24"/>
        </w:rPr>
        <w:tab/>
      </w:r>
      <w:r w:rsidRPr="005F44E8">
        <w:rPr>
          <w:rFonts w:ascii="Arial" w:hAnsi="Arial" w:cs="Arial"/>
          <w:sz w:val="24"/>
          <w:szCs w:val="24"/>
        </w:rPr>
        <w:tab/>
        <w:t>Procedencia de sentencia anticipada</w:t>
      </w:r>
    </w:p>
    <w:p w14:paraId="201BF852" w14:textId="77777777" w:rsidR="000648EC" w:rsidRPr="005F44E8" w:rsidRDefault="000648EC" w:rsidP="000648EC">
      <w:pPr>
        <w:widowControl w:val="0"/>
        <w:tabs>
          <w:tab w:val="left" w:pos="8222"/>
        </w:tabs>
        <w:spacing w:line="276" w:lineRule="auto"/>
        <w:rPr>
          <w:rFonts w:ascii="Arial" w:hAnsi="Arial" w:cs="Arial"/>
          <w:b/>
          <w:sz w:val="24"/>
          <w:szCs w:val="24"/>
        </w:rPr>
      </w:pPr>
    </w:p>
    <w:p w14:paraId="6C121F87" w14:textId="77777777" w:rsidR="000648EC" w:rsidRPr="005F44E8" w:rsidRDefault="000648EC" w:rsidP="000648EC">
      <w:pPr>
        <w:pBdr>
          <w:bottom w:val="single" w:sz="6" w:space="1" w:color="000000"/>
        </w:pBdr>
        <w:spacing w:line="276" w:lineRule="auto"/>
        <w:contextualSpacing/>
        <w:jc w:val="both"/>
        <w:rPr>
          <w:rStyle w:val="NingunoA"/>
          <w:rFonts w:ascii="Arial" w:hAnsi="Arial" w:cs="Arial"/>
          <w:b/>
          <w:bCs/>
          <w:sz w:val="24"/>
          <w:szCs w:val="24"/>
        </w:rPr>
      </w:pPr>
      <w:r w:rsidRPr="005F44E8">
        <w:rPr>
          <w:rStyle w:val="NingunoA"/>
          <w:rFonts w:ascii="Arial" w:hAnsi="Arial" w:cs="Arial"/>
          <w:b/>
          <w:bCs/>
          <w:sz w:val="24"/>
          <w:szCs w:val="24"/>
        </w:rPr>
        <w:t>AUTO</w:t>
      </w:r>
    </w:p>
    <w:p w14:paraId="0E5071A9" w14:textId="77777777" w:rsidR="000648EC" w:rsidRPr="005F44E8" w:rsidRDefault="000648EC" w:rsidP="000648EC">
      <w:pPr>
        <w:spacing w:line="276" w:lineRule="auto"/>
        <w:jc w:val="both"/>
        <w:rPr>
          <w:rStyle w:val="formato"/>
          <w:rFonts w:cs="Arial"/>
          <w:szCs w:val="24"/>
        </w:rPr>
      </w:pPr>
    </w:p>
    <w:p w14:paraId="4C2A994A" w14:textId="1F288FE4"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Vencido el término de traslado de la demanda</w:t>
      </w:r>
      <w:r w:rsidR="00122519" w:rsidRPr="005F44E8">
        <w:rPr>
          <w:rFonts w:ascii="Arial" w:hAnsi="Arial" w:cs="Arial"/>
          <w:sz w:val="24"/>
          <w:szCs w:val="24"/>
        </w:rPr>
        <w:t xml:space="preserve"> y resuelta la excepción previa formulada por el apoderado de la Nación – Ministerio de Educación Nacional</w:t>
      </w:r>
      <w:r w:rsidRPr="005F44E8">
        <w:rPr>
          <w:rFonts w:ascii="Arial" w:hAnsi="Arial" w:cs="Arial"/>
          <w:sz w:val="24"/>
          <w:szCs w:val="24"/>
        </w:rPr>
        <w:t>, el despacho procede a determinar si, en el presente caso, resulta procedente dar aplicación a la figura de la sentencia anticipada contemplada en el artículo 182A del Código de Procedimiento Administrativo y de lo Contencioso Administrativo</w:t>
      </w:r>
      <w:r w:rsidRPr="005F44E8">
        <w:rPr>
          <w:rStyle w:val="Refdenotaalpie"/>
          <w:rFonts w:ascii="Arial" w:hAnsi="Arial" w:cs="Arial"/>
          <w:sz w:val="24"/>
          <w:szCs w:val="24"/>
        </w:rPr>
        <w:footnoteReference w:id="1"/>
      </w:r>
      <w:r w:rsidRPr="005F44E8">
        <w:rPr>
          <w:rFonts w:ascii="Arial" w:hAnsi="Arial" w:cs="Arial"/>
          <w:sz w:val="24"/>
          <w:szCs w:val="24"/>
        </w:rPr>
        <w:t>, teniendo en cuenta para el efecto, los siguientes:</w:t>
      </w:r>
    </w:p>
    <w:p w14:paraId="19479C34" w14:textId="77777777" w:rsidR="000648EC" w:rsidRPr="005F44E8" w:rsidRDefault="000648EC" w:rsidP="000648EC">
      <w:pPr>
        <w:spacing w:line="276" w:lineRule="auto"/>
        <w:jc w:val="both"/>
        <w:rPr>
          <w:rFonts w:ascii="Arial" w:hAnsi="Arial" w:cs="Arial"/>
          <w:sz w:val="24"/>
          <w:szCs w:val="24"/>
        </w:rPr>
      </w:pPr>
    </w:p>
    <w:p w14:paraId="6B403514" w14:textId="77777777" w:rsidR="000648EC" w:rsidRPr="005F44E8" w:rsidRDefault="000648EC" w:rsidP="000648EC">
      <w:pPr>
        <w:spacing w:line="276" w:lineRule="auto"/>
        <w:jc w:val="center"/>
        <w:rPr>
          <w:rFonts w:ascii="Arial" w:hAnsi="Arial" w:cs="Arial"/>
          <w:b/>
          <w:bCs/>
          <w:sz w:val="24"/>
          <w:szCs w:val="24"/>
        </w:rPr>
      </w:pPr>
      <w:r w:rsidRPr="005F44E8">
        <w:rPr>
          <w:rFonts w:ascii="Arial" w:hAnsi="Arial" w:cs="Arial"/>
          <w:b/>
          <w:bCs/>
          <w:sz w:val="24"/>
          <w:szCs w:val="24"/>
        </w:rPr>
        <w:t>I. ANTECEDENTES</w:t>
      </w:r>
    </w:p>
    <w:p w14:paraId="19413754" w14:textId="77777777" w:rsidR="000648EC" w:rsidRPr="005F44E8" w:rsidRDefault="000648EC" w:rsidP="000648EC">
      <w:pPr>
        <w:spacing w:line="276" w:lineRule="auto"/>
        <w:jc w:val="both"/>
        <w:rPr>
          <w:rFonts w:ascii="Arial" w:hAnsi="Arial" w:cs="Arial"/>
          <w:sz w:val="24"/>
          <w:szCs w:val="24"/>
        </w:rPr>
      </w:pPr>
    </w:p>
    <w:p w14:paraId="75F45D1E" w14:textId="3D5D0AA2" w:rsidR="000648EC" w:rsidRPr="005F44E8" w:rsidRDefault="000648EC" w:rsidP="000648EC">
      <w:pPr>
        <w:spacing w:line="276" w:lineRule="auto"/>
        <w:jc w:val="both"/>
        <w:rPr>
          <w:rFonts w:ascii="Arial" w:hAnsi="Arial" w:cs="Arial"/>
          <w:b/>
          <w:bCs/>
          <w:sz w:val="24"/>
          <w:szCs w:val="24"/>
        </w:rPr>
      </w:pPr>
      <w:r w:rsidRPr="005F44E8">
        <w:rPr>
          <w:rFonts w:ascii="Arial" w:hAnsi="Arial" w:cs="Arial"/>
          <w:b/>
          <w:sz w:val="24"/>
          <w:szCs w:val="24"/>
          <w:lang w:val="es-ES_tradnl"/>
        </w:rPr>
        <w:t xml:space="preserve">1.1. La demanda y su </w:t>
      </w:r>
      <w:r w:rsidR="007775A8" w:rsidRPr="005F44E8">
        <w:rPr>
          <w:rFonts w:ascii="Arial" w:hAnsi="Arial" w:cs="Arial"/>
          <w:b/>
          <w:sz w:val="24"/>
          <w:szCs w:val="24"/>
          <w:lang w:val="es-ES_tradnl"/>
        </w:rPr>
        <w:t>contestación</w:t>
      </w:r>
      <w:r w:rsidRPr="005F44E8">
        <w:rPr>
          <w:rFonts w:ascii="Arial" w:hAnsi="Arial" w:cs="Arial"/>
          <w:b/>
          <w:sz w:val="24"/>
          <w:szCs w:val="24"/>
          <w:lang w:val="es-ES_tradnl"/>
        </w:rPr>
        <w:t>.</w:t>
      </w:r>
    </w:p>
    <w:p w14:paraId="3AA52C4E" w14:textId="77777777" w:rsidR="000648EC" w:rsidRPr="005F44E8" w:rsidRDefault="000648EC" w:rsidP="000648EC">
      <w:pPr>
        <w:pStyle w:val="Prrafodelista"/>
        <w:spacing w:line="276" w:lineRule="auto"/>
        <w:ind w:left="720"/>
        <w:jc w:val="both"/>
        <w:rPr>
          <w:rFonts w:ascii="Arial" w:hAnsi="Arial" w:cs="Arial"/>
          <w:b/>
          <w:bCs/>
          <w:sz w:val="24"/>
          <w:szCs w:val="24"/>
        </w:rPr>
      </w:pPr>
    </w:p>
    <w:p w14:paraId="6DA16F18" w14:textId="73072A26" w:rsidR="000648EC" w:rsidRPr="005F44E8" w:rsidRDefault="00122519" w:rsidP="000648EC">
      <w:pPr>
        <w:spacing w:line="276" w:lineRule="auto"/>
        <w:jc w:val="both"/>
        <w:rPr>
          <w:rFonts w:ascii="Arial" w:hAnsi="Arial" w:cs="Arial"/>
          <w:sz w:val="24"/>
          <w:szCs w:val="24"/>
          <w:lang w:val="es-ES_tradnl"/>
        </w:rPr>
      </w:pPr>
      <w:r w:rsidRPr="005F44E8">
        <w:rPr>
          <w:rFonts w:ascii="Arial" w:hAnsi="Arial" w:cs="Arial"/>
          <w:b/>
          <w:bCs/>
          <w:sz w:val="24"/>
          <w:szCs w:val="24"/>
          <w:lang w:val="es-ES_tradnl"/>
        </w:rPr>
        <w:t>1.1.1.</w:t>
      </w:r>
      <w:r w:rsidRPr="005F44E8">
        <w:rPr>
          <w:rFonts w:ascii="Arial" w:hAnsi="Arial" w:cs="Arial"/>
          <w:sz w:val="24"/>
          <w:szCs w:val="24"/>
          <w:lang w:val="es-ES_tradnl"/>
        </w:rPr>
        <w:t xml:space="preserve"> </w:t>
      </w:r>
      <w:r w:rsidR="000648EC" w:rsidRPr="005F44E8">
        <w:rPr>
          <w:rFonts w:ascii="Arial" w:hAnsi="Arial" w:cs="Arial"/>
          <w:sz w:val="24"/>
          <w:szCs w:val="24"/>
          <w:lang w:val="es-ES_tradnl"/>
        </w:rPr>
        <w:t>El señor Eduardo Antonio García Vega, actuando en nombre propio y en ejercicio del medio de control de nulidad electoral, consagrado en el artículo 139 del CPACA, pretende que se declare:</w:t>
      </w:r>
    </w:p>
    <w:p w14:paraId="667443C4" w14:textId="5C9B2508" w:rsidR="000648EC" w:rsidRPr="005F44E8" w:rsidRDefault="000648EC" w:rsidP="007775A8">
      <w:pPr>
        <w:pStyle w:val="Sinespaciado"/>
        <w:ind w:left="708"/>
        <w:jc w:val="both"/>
        <w:rPr>
          <w:rFonts w:ascii="Arial" w:hAnsi="Arial" w:cs="Arial"/>
          <w:sz w:val="22"/>
          <w:szCs w:val="22"/>
        </w:rPr>
      </w:pPr>
      <w:r w:rsidRPr="005F44E8">
        <w:rPr>
          <w:rFonts w:ascii="Arial" w:hAnsi="Arial" w:cs="Arial"/>
          <w:b/>
          <w:sz w:val="22"/>
          <w:szCs w:val="22"/>
        </w:rPr>
        <w:t>1.</w:t>
      </w:r>
      <w:r w:rsidRPr="005F44E8">
        <w:rPr>
          <w:rFonts w:ascii="Arial" w:hAnsi="Arial" w:cs="Arial"/>
          <w:sz w:val="22"/>
          <w:szCs w:val="22"/>
        </w:rPr>
        <w:t xml:space="preserve"> Que es nulo el acto administrativo, acta electoral No. 08 del 27 de marzo de 2020, cuya copia auténtica adjunto, por medio del (sic) cual se declaró la elección de FIDEL QUINTO MOSQUERA y JUAN DIEGO CASTRILLON ORREGO, como representantes principal y suplente de los Ex-rectores ante el Consejo Superior de la Universidad del Pacífico, respectivamente, por un periodo de dos (2) años a partir de la posesión.</w:t>
      </w:r>
    </w:p>
    <w:p w14:paraId="1558AAB8" w14:textId="77777777" w:rsidR="000648EC" w:rsidRPr="005F44E8" w:rsidRDefault="000648EC" w:rsidP="007775A8">
      <w:pPr>
        <w:pStyle w:val="Sinespaciado"/>
        <w:ind w:left="708"/>
        <w:jc w:val="both"/>
        <w:rPr>
          <w:rFonts w:ascii="Arial" w:hAnsi="Arial" w:cs="Arial"/>
          <w:sz w:val="22"/>
          <w:szCs w:val="22"/>
        </w:rPr>
      </w:pPr>
      <w:r w:rsidRPr="005F44E8">
        <w:rPr>
          <w:rFonts w:ascii="Arial" w:hAnsi="Arial" w:cs="Arial"/>
          <w:b/>
          <w:bCs/>
          <w:sz w:val="22"/>
          <w:szCs w:val="22"/>
        </w:rPr>
        <w:t>2.</w:t>
      </w:r>
      <w:r w:rsidRPr="005F44E8">
        <w:rPr>
          <w:rFonts w:ascii="Arial" w:hAnsi="Arial" w:cs="Arial"/>
          <w:sz w:val="22"/>
          <w:szCs w:val="22"/>
        </w:rPr>
        <w:t xml:space="preserve"> </w:t>
      </w:r>
      <w:proofErr w:type="gramStart"/>
      <w:r w:rsidRPr="005F44E8">
        <w:rPr>
          <w:rFonts w:ascii="Arial" w:hAnsi="Arial" w:cs="Arial"/>
          <w:sz w:val="22"/>
          <w:szCs w:val="22"/>
        </w:rPr>
        <w:t>Que</w:t>
      </w:r>
      <w:proofErr w:type="gramEnd"/>
      <w:r w:rsidRPr="005F44E8">
        <w:rPr>
          <w:rFonts w:ascii="Arial" w:hAnsi="Arial" w:cs="Arial"/>
          <w:sz w:val="22"/>
          <w:szCs w:val="22"/>
        </w:rPr>
        <w:t xml:space="preserve"> como consecuencia de lo anterior, se ordene a la Universidad del Pacífico y al Consejo Directivo de esta institución de educación superior, dar inicio nuevamente </w:t>
      </w:r>
      <w:r w:rsidRPr="005F44E8">
        <w:rPr>
          <w:rFonts w:ascii="Arial" w:hAnsi="Arial" w:cs="Arial"/>
          <w:sz w:val="22"/>
          <w:szCs w:val="22"/>
        </w:rPr>
        <w:lastRenderedPageBreak/>
        <w:t>al proceso que permita la elección del representante de los ex–rectores ante el Consejo Superior, conforme a sus normas internas o estatutos.</w:t>
      </w:r>
    </w:p>
    <w:p w14:paraId="5D53C4F8" w14:textId="51E6475C" w:rsidR="00911C54" w:rsidRPr="005F44E8" w:rsidRDefault="000648EC" w:rsidP="00F41ECB">
      <w:pPr>
        <w:spacing w:line="276" w:lineRule="auto"/>
        <w:jc w:val="both"/>
        <w:rPr>
          <w:rFonts w:ascii="Arial" w:hAnsi="Arial" w:cs="Arial"/>
          <w:sz w:val="24"/>
          <w:szCs w:val="24"/>
        </w:rPr>
      </w:pPr>
      <w:r w:rsidRPr="005F44E8">
        <w:rPr>
          <w:rFonts w:ascii="Arial" w:hAnsi="Arial" w:cs="Arial"/>
          <w:sz w:val="24"/>
          <w:szCs w:val="24"/>
        </w:rPr>
        <w:t xml:space="preserve">El demandante </w:t>
      </w:r>
      <w:r w:rsidR="00BE54E9" w:rsidRPr="005F44E8">
        <w:rPr>
          <w:rFonts w:ascii="Arial" w:hAnsi="Arial" w:cs="Arial"/>
          <w:sz w:val="24"/>
          <w:szCs w:val="24"/>
          <w:lang w:val="es-ES_tradnl"/>
        </w:rPr>
        <w:t xml:space="preserve">radica la irregularidad de la elección impugnada en </w:t>
      </w:r>
      <w:r w:rsidR="00334E14" w:rsidRPr="005F44E8">
        <w:rPr>
          <w:rFonts w:ascii="Arial" w:hAnsi="Arial" w:cs="Arial"/>
          <w:sz w:val="24"/>
          <w:szCs w:val="24"/>
          <w:lang w:val="es-ES_tradnl"/>
        </w:rPr>
        <w:t xml:space="preserve">la </w:t>
      </w:r>
      <w:r w:rsidR="00BE54E9" w:rsidRPr="005F44E8">
        <w:rPr>
          <w:rFonts w:ascii="Arial" w:hAnsi="Arial" w:cs="Arial"/>
          <w:sz w:val="24"/>
          <w:szCs w:val="24"/>
        </w:rPr>
        <w:t>infracción a</w:t>
      </w:r>
      <w:r w:rsidR="00911C54" w:rsidRPr="005F44E8">
        <w:rPr>
          <w:rFonts w:ascii="Arial" w:hAnsi="Arial" w:cs="Arial"/>
          <w:sz w:val="24"/>
          <w:szCs w:val="24"/>
        </w:rPr>
        <w:t xml:space="preserve"> los artículos 13, 29 y 40 del texto superior, 36</w:t>
      </w:r>
      <w:r w:rsidR="00911C54" w:rsidRPr="005F44E8">
        <w:rPr>
          <w:rFonts w:ascii="Arial" w:hAnsi="Arial" w:cs="Arial"/>
          <w:sz w:val="24"/>
          <w:szCs w:val="24"/>
          <w:vertAlign w:val="superscript"/>
        </w:rPr>
        <w:footnoteReference w:id="2"/>
      </w:r>
      <w:r w:rsidR="00911C54" w:rsidRPr="005F44E8">
        <w:rPr>
          <w:rFonts w:ascii="Arial" w:hAnsi="Arial" w:cs="Arial"/>
          <w:sz w:val="24"/>
          <w:szCs w:val="24"/>
        </w:rPr>
        <w:t>, 40</w:t>
      </w:r>
      <w:r w:rsidR="00911C54" w:rsidRPr="005F44E8">
        <w:rPr>
          <w:rFonts w:ascii="Arial" w:hAnsi="Arial" w:cs="Arial"/>
          <w:sz w:val="24"/>
          <w:szCs w:val="24"/>
          <w:vertAlign w:val="superscript"/>
        </w:rPr>
        <w:footnoteReference w:id="3"/>
      </w:r>
      <w:r w:rsidR="00911C54" w:rsidRPr="005F44E8">
        <w:rPr>
          <w:rFonts w:ascii="Arial" w:hAnsi="Arial" w:cs="Arial"/>
          <w:sz w:val="24"/>
          <w:szCs w:val="24"/>
          <w:vertAlign w:val="superscript"/>
        </w:rPr>
        <w:t xml:space="preserve"> </w:t>
      </w:r>
      <w:r w:rsidR="00911C54" w:rsidRPr="005F44E8">
        <w:rPr>
          <w:rFonts w:ascii="Arial" w:hAnsi="Arial" w:cs="Arial"/>
          <w:sz w:val="24"/>
          <w:szCs w:val="24"/>
        </w:rPr>
        <w:t xml:space="preserve"> y 42</w:t>
      </w:r>
      <w:r w:rsidR="00911C54" w:rsidRPr="005F44E8">
        <w:rPr>
          <w:rFonts w:ascii="Arial" w:hAnsi="Arial" w:cs="Arial"/>
          <w:sz w:val="24"/>
          <w:szCs w:val="24"/>
          <w:vertAlign w:val="superscript"/>
        </w:rPr>
        <w:footnoteReference w:id="4"/>
      </w:r>
      <w:r w:rsidR="00911C54" w:rsidRPr="005F44E8">
        <w:rPr>
          <w:rFonts w:ascii="Arial" w:hAnsi="Arial" w:cs="Arial"/>
          <w:sz w:val="24"/>
          <w:szCs w:val="24"/>
          <w:vertAlign w:val="superscript"/>
        </w:rPr>
        <w:t xml:space="preserve"> </w:t>
      </w:r>
      <w:r w:rsidR="00911C54" w:rsidRPr="005F44E8">
        <w:rPr>
          <w:rFonts w:ascii="Arial" w:hAnsi="Arial" w:cs="Arial"/>
          <w:sz w:val="24"/>
          <w:szCs w:val="24"/>
        </w:rPr>
        <w:t>del Acuerdo 070 de 2019 y 2</w:t>
      </w:r>
      <w:r w:rsidR="00911C54" w:rsidRPr="005F44E8">
        <w:rPr>
          <w:rFonts w:ascii="Arial" w:hAnsi="Arial" w:cs="Arial"/>
          <w:sz w:val="24"/>
          <w:szCs w:val="24"/>
          <w:vertAlign w:val="superscript"/>
        </w:rPr>
        <w:footnoteReference w:id="5"/>
      </w:r>
      <w:r w:rsidR="00911C54" w:rsidRPr="005F44E8">
        <w:rPr>
          <w:rFonts w:ascii="Arial" w:hAnsi="Arial" w:cs="Arial"/>
          <w:sz w:val="24"/>
          <w:szCs w:val="24"/>
          <w:vertAlign w:val="superscript"/>
        </w:rPr>
        <w:t xml:space="preserve"> </w:t>
      </w:r>
      <w:r w:rsidR="00911C54" w:rsidRPr="005F44E8">
        <w:rPr>
          <w:rFonts w:ascii="Arial" w:hAnsi="Arial" w:cs="Arial"/>
          <w:sz w:val="24"/>
          <w:szCs w:val="24"/>
        </w:rPr>
        <w:t>del Acuerdo 075 de 2020.</w:t>
      </w:r>
      <w:r w:rsidR="00F41ECB" w:rsidRPr="005F44E8">
        <w:rPr>
          <w:rFonts w:ascii="Arial" w:hAnsi="Arial" w:cs="Arial"/>
          <w:sz w:val="24"/>
          <w:szCs w:val="24"/>
        </w:rPr>
        <w:t xml:space="preserve"> </w:t>
      </w:r>
      <w:r w:rsidR="00911C54" w:rsidRPr="005F44E8">
        <w:rPr>
          <w:rFonts w:ascii="Arial" w:hAnsi="Arial" w:cs="Arial"/>
          <w:sz w:val="24"/>
          <w:szCs w:val="24"/>
          <w:lang w:val="es-ES_tradnl"/>
        </w:rPr>
        <w:t xml:space="preserve">Al respecto, estima que en el proceso de elección del representante principal y suplente de los ex - Rectores ante </w:t>
      </w:r>
      <w:r w:rsidR="00911C54" w:rsidRPr="005F44E8">
        <w:rPr>
          <w:rFonts w:ascii="Arial" w:hAnsi="Arial" w:cs="Arial"/>
          <w:color w:val="000000"/>
          <w:sz w:val="24"/>
          <w:szCs w:val="24"/>
        </w:rPr>
        <w:t>Consejo Superior de la Universidad del Pacifico, se previó la realización de una asamblea con los ex - Rectores de las universidades oficiales de la región pacífica</w:t>
      </w:r>
      <w:r w:rsidR="00BD7DB3" w:rsidRPr="005F44E8">
        <w:rPr>
          <w:rFonts w:ascii="Arial" w:hAnsi="Arial" w:cs="Arial"/>
          <w:color w:val="000000"/>
          <w:sz w:val="24"/>
          <w:szCs w:val="24"/>
        </w:rPr>
        <w:t>, a la cual no fue convocado para deliberar ni postularse como elegible,</w:t>
      </w:r>
      <w:r w:rsidR="00911C54" w:rsidRPr="005F44E8">
        <w:rPr>
          <w:rFonts w:ascii="Arial" w:hAnsi="Arial" w:cs="Arial"/>
          <w:color w:val="000000"/>
          <w:sz w:val="24"/>
          <w:szCs w:val="24"/>
        </w:rPr>
        <w:t xml:space="preserve"> pes</w:t>
      </w:r>
      <w:r w:rsidR="00BD7DB3" w:rsidRPr="005F44E8">
        <w:rPr>
          <w:rFonts w:ascii="Arial" w:hAnsi="Arial" w:cs="Arial"/>
          <w:color w:val="000000"/>
          <w:sz w:val="24"/>
          <w:szCs w:val="24"/>
        </w:rPr>
        <w:t>e</w:t>
      </w:r>
      <w:r w:rsidR="00911C54" w:rsidRPr="005F44E8">
        <w:rPr>
          <w:rFonts w:ascii="Arial" w:hAnsi="Arial" w:cs="Arial"/>
          <w:color w:val="000000"/>
          <w:sz w:val="24"/>
          <w:szCs w:val="24"/>
        </w:rPr>
        <w:t xml:space="preserve"> </w:t>
      </w:r>
      <w:r w:rsidR="00D145AD" w:rsidRPr="005F44E8">
        <w:rPr>
          <w:rFonts w:ascii="Arial" w:hAnsi="Arial" w:cs="Arial"/>
          <w:color w:val="000000"/>
          <w:sz w:val="24"/>
          <w:szCs w:val="24"/>
        </w:rPr>
        <w:t xml:space="preserve">a </w:t>
      </w:r>
      <w:r w:rsidR="00911C54" w:rsidRPr="005F44E8">
        <w:rPr>
          <w:rFonts w:ascii="Arial" w:hAnsi="Arial" w:cs="Arial"/>
          <w:color w:val="000000"/>
          <w:sz w:val="24"/>
          <w:szCs w:val="24"/>
        </w:rPr>
        <w:t>haberse inscrito como candidato y estar habilitado por el comité electoral</w:t>
      </w:r>
      <w:r w:rsidR="00BD7DB3" w:rsidRPr="005F44E8">
        <w:rPr>
          <w:rFonts w:ascii="Arial" w:hAnsi="Arial" w:cs="Arial"/>
          <w:color w:val="000000"/>
          <w:sz w:val="24"/>
          <w:szCs w:val="24"/>
        </w:rPr>
        <w:t>; aduce que dicha</w:t>
      </w:r>
      <w:r w:rsidR="00911C54" w:rsidRPr="005F44E8">
        <w:rPr>
          <w:rFonts w:ascii="Arial" w:hAnsi="Arial" w:cs="Arial"/>
          <w:color w:val="000000"/>
          <w:sz w:val="24"/>
          <w:szCs w:val="24"/>
        </w:rPr>
        <w:t xml:space="preserve"> circunstancia vulneró sus derechos a la igualdad y a ser elegido</w:t>
      </w:r>
      <w:r w:rsidR="00BD7DB3" w:rsidRPr="005F44E8">
        <w:rPr>
          <w:rFonts w:ascii="Arial" w:hAnsi="Arial" w:cs="Arial"/>
          <w:color w:val="000000"/>
          <w:sz w:val="24"/>
          <w:szCs w:val="24"/>
        </w:rPr>
        <w:t xml:space="preserve"> (Arts.</w:t>
      </w:r>
      <w:r w:rsidR="00911C54" w:rsidRPr="005F44E8">
        <w:rPr>
          <w:rFonts w:ascii="Arial" w:hAnsi="Arial" w:cs="Arial"/>
          <w:color w:val="000000"/>
          <w:sz w:val="24"/>
          <w:szCs w:val="24"/>
        </w:rPr>
        <w:t xml:space="preserve"> </w:t>
      </w:r>
      <w:r w:rsidR="00911C54" w:rsidRPr="005F44E8">
        <w:rPr>
          <w:rFonts w:ascii="Arial" w:hAnsi="Arial" w:cs="Arial"/>
          <w:sz w:val="24"/>
          <w:szCs w:val="24"/>
        </w:rPr>
        <w:t xml:space="preserve">13 y 40 </w:t>
      </w:r>
      <w:r w:rsidR="00BD7DB3" w:rsidRPr="005F44E8">
        <w:rPr>
          <w:rFonts w:ascii="Arial" w:hAnsi="Arial" w:cs="Arial"/>
          <w:sz w:val="24"/>
          <w:szCs w:val="24"/>
        </w:rPr>
        <w:t>CP)</w:t>
      </w:r>
    </w:p>
    <w:p w14:paraId="71B84711" w14:textId="77777777" w:rsidR="00911C54" w:rsidRPr="005F44E8" w:rsidRDefault="00911C54" w:rsidP="00F41ECB">
      <w:pPr>
        <w:spacing w:line="276" w:lineRule="auto"/>
        <w:jc w:val="both"/>
        <w:rPr>
          <w:rFonts w:ascii="Arial" w:hAnsi="Arial" w:cs="Arial"/>
          <w:sz w:val="16"/>
          <w:szCs w:val="16"/>
        </w:rPr>
      </w:pPr>
    </w:p>
    <w:p w14:paraId="458B435F" w14:textId="3F86357D" w:rsidR="00911C54" w:rsidRPr="005F44E8" w:rsidRDefault="00911C54" w:rsidP="00F41ECB">
      <w:pPr>
        <w:spacing w:line="276" w:lineRule="auto"/>
        <w:jc w:val="both"/>
        <w:rPr>
          <w:rFonts w:ascii="Arial" w:hAnsi="Arial" w:cs="Arial"/>
          <w:sz w:val="24"/>
          <w:szCs w:val="24"/>
          <w:lang w:val="es-ES_tradnl"/>
        </w:rPr>
      </w:pPr>
      <w:r w:rsidRPr="005F44E8">
        <w:rPr>
          <w:rFonts w:ascii="Arial" w:hAnsi="Arial" w:cs="Arial"/>
          <w:sz w:val="24"/>
          <w:szCs w:val="24"/>
          <w:lang w:val="es-ES_tradnl"/>
        </w:rPr>
        <w:t xml:space="preserve">Alega que el cronograma adoptado por el Consejo </w:t>
      </w:r>
      <w:r w:rsidRPr="005F44E8">
        <w:rPr>
          <w:rFonts w:ascii="Arial" w:hAnsi="Arial" w:cs="Arial"/>
          <w:color w:val="000000"/>
          <w:sz w:val="24"/>
          <w:szCs w:val="24"/>
        </w:rPr>
        <w:t xml:space="preserve">Superior señalaba, de </w:t>
      </w:r>
      <w:r w:rsidRPr="005F44E8">
        <w:rPr>
          <w:rFonts w:ascii="Arial" w:hAnsi="Arial" w:cs="Arial"/>
          <w:sz w:val="24"/>
          <w:szCs w:val="24"/>
          <w:lang w:val="es-ES_tradnl"/>
        </w:rPr>
        <w:t xml:space="preserve">forma clara y precisa, las fechas en las que se llevaría a cabo cada una de las etapas del proceso, estableciendo para el día 27 de marzo de 2020, como fecha única, la realización de la asamblea donde se elegiría dicho representante. Sin embargo, algunos pocos candidatos habilitados se reunieron el 24 de marzo de 2020, es decir tres (3) días antes, y decidieron la conformación de una única plancha, designando al señor Fidel Quinto Mosquera como principal y a Juan Diego Castrillón Orrego como suplente. </w:t>
      </w:r>
      <w:r w:rsidR="00F41ECB" w:rsidRPr="005F44E8">
        <w:rPr>
          <w:rFonts w:ascii="Arial" w:hAnsi="Arial" w:cs="Arial"/>
          <w:sz w:val="24"/>
          <w:szCs w:val="24"/>
          <w:lang w:val="es-ES_tradnl"/>
        </w:rPr>
        <w:t>Así las cosas</w:t>
      </w:r>
      <w:r w:rsidRPr="005F44E8">
        <w:rPr>
          <w:rFonts w:ascii="Arial" w:hAnsi="Arial" w:cs="Arial"/>
          <w:sz w:val="24"/>
          <w:szCs w:val="24"/>
          <w:lang w:val="es-ES_tradnl"/>
        </w:rPr>
        <w:t>, estimó que al modificarse la fecha establecida en el a</w:t>
      </w:r>
      <w:r w:rsidRPr="005F44E8">
        <w:rPr>
          <w:rFonts w:ascii="Arial" w:hAnsi="Arial" w:cs="Arial"/>
          <w:color w:val="000000"/>
          <w:sz w:val="24"/>
          <w:szCs w:val="24"/>
          <w:lang w:val="es-ES_tradnl"/>
        </w:rPr>
        <w:t>rtículo 2°del Acuerdo 075 del 11 de febrero de 2020</w:t>
      </w:r>
      <w:r w:rsidRPr="005F44E8">
        <w:rPr>
          <w:rStyle w:val="Refdenotaalpie"/>
          <w:rFonts w:ascii="Arial" w:hAnsi="Arial" w:cs="Arial"/>
          <w:color w:val="000000"/>
          <w:sz w:val="24"/>
          <w:szCs w:val="24"/>
          <w:lang w:val="es-ES_tradnl"/>
        </w:rPr>
        <w:footnoteReference w:id="6"/>
      </w:r>
      <w:r w:rsidRPr="005F44E8">
        <w:rPr>
          <w:rFonts w:ascii="Arial" w:hAnsi="Arial" w:cs="Arial"/>
          <w:color w:val="000000"/>
          <w:sz w:val="24"/>
          <w:szCs w:val="24"/>
          <w:lang w:val="es-ES_tradnl"/>
        </w:rPr>
        <w:t xml:space="preserve">, por medio del cual, el Consejo Superior Universitario fijó el cronograma, sin mediar </w:t>
      </w:r>
      <w:r w:rsidRPr="005F44E8">
        <w:rPr>
          <w:rFonts w:ascii="Arial" w:hAnsi="Arial" w:cs="Arial"/>
          <w:color w:val="222222"/>
          <w:sz w:val="24"/>
          <w:szCs w:val="24"/>
          <w:shd w:val="clear" w:color="auto" w:fill="FFFFFF"/>
          <w:lang w:val="es-ES_tradnl"/>
        </w:rPr>
        <w:t xml:space="preserve">aviso previo o notificación al respecto, se </w:t>
      </w:r>
      <w:r w:rsidRPr="005F44E8">
        <w:rPr>
          <w:rFonts w:ascii="Arial" w:hAnsi="Arial" w:cs="Arial"/>
          <w:sz w:val="24"/>
          <w:szCs w:val="24"/>
          <w:lang w:val="es-ES_tradnl"/>
        </w:rPr>
        <w:t xml:space="preserve">configura una flagrante vulneración de este reglamento y el derecho al debido proceso previsto en el artículo 29 superior. </w:t>
      </w:r>
    </w:p>
    <w:p w14:paraId="0AA47872" w14:textId="77777777" w:rsidR="00911C54" w:rsidRPr="005F44E8" w:rsidRDefault="00911C54" w:rsidP="00F41ECB">
      <w:pPr>
        <w:spacing w:line="276" w:lineRule="auto"/>
        <w:jc w:val="both"/>
        <w:rPr>
          <w:rFonts w:ascii="Arial" w:hAnsi="Arial" w:cs="Arial"/>
          <w:sz w:val="16"/>
          <w:szCs w:val="16"/>
          <w:lang w:val="es-ES_tradnl"/>
        </w:rPr>
      </w:pPr>
    </w:p>
    <w:p w14:paraId="62AD543A" w14:textId="1DF7063B" w:rsidR="00911C54" w:rsidRPr="005F44E8" w:rsidRDefault="00F41ECB" w:rsidP="00F41ECB">
      <w:pPr>
        <w:spacing w:line="276" w:lineRule="auto"/>
        <w:jc w:val="both"/>
        <w:rPr>
          <w:rFonts w:ascii="Arial" w:hAnsi="Arial" w:cs="Arial"/>
          <w:sz w:val="24"/>
          <w:szCs w:val="24"/>
        </w:rPr>
      </w:pPr>
      <w:r w:rsidRPr="005F44E8">
        <w:rPr>
          <w:rFonts w:ascii="Arial" w:hAnsi="Arial" w:cs="Arial"/>
          <w:sz w:val="24"/>
          <w:szCs w:val="24"/>
          <w:lang w:val="es-ES_tradnl"/>
        </w:rPr>
        <w:t>A</w:t>
      </w:r>
      <w:r w:rsidR="00BE54E9" w:rsidRPr="005F44E8">
        <w:rPr>
          <w:rFonts w:ascii="Arial" w:hAnsi="Arial" w:cs="Arial"/>
          <w:sz w:val="24"/>
          <w:szCs w:val="24"/>
          <w:lang w:val="es-ES_tradnl"/>
        </w:rPr>
        <w:t>grega</w:t>
      </w:r>
      <w:r w:rsidR="00911C54" w:rsidRPr="005F44E8">
        <w:rPr>
          <w:rFonts w:ascii="Arial" w:hAnsi="Arial" w:cs="Arial"/>
          <w:sz w:val="24"/>
          <w:szCs w:val="24"/>
          <w:lang w:val="es-ES_tradnl"/>
        </w:rPr>
        <w:t xml:space="preserve"> que, se vulneró lo establecido en el artículo 36</w:t>
      </w:r>
      <w:r w:rsidR="00911C54" w:rsidRPr="005F44E8">
        <w:rPr>
          <w:rStyle w:val="Refdenotaalpie"/>
          <w:rFonts w:ascii="Arial" w:hAnsi="Arial" w:cs="Arial"/>
          <w:sz w:val="24"/>
          <w:szCs w:val="24"/>
          <w:lang w:val="es-ES_tradnl"/>
        </w:rPr>
        <w:footnoteReference w:id="7"/>
      </w:r>
      <w:r w:rsidR="00911C54" w:rsidRPr="005F44E8">
        <w:rPr>
          <w:rFonts w:ascii="Arial" w:hAnsi="Arial" w:cs="Arial"/>
          <w:sz w:val="24"/>
          <w:szCs w:val="24"/>
          <w:lang w:val="es-ES_tradnl"/>
        </w:rPr>
        <w:t xml:space="preserve"> del Reglamento Electoral de la Universidad del Pacífico -Acuerdo Superior 070 de 2019-, en concordancia con el parágrafo primero del artículo 2° del Acuerdo Superior 075 de 2020</w:t>
      </w:r>
      <w:r w:rsidR="00911C54" w:rsidRPr="005F44E8">
        <w:rPr>
          <w:rStyle w:val="Refdenotaalpie"/>
          <w:rFonts w:ascii="Arial" w:hAnsi="Arial" w:cs="Arial"/>
          <w:sz w:val="24"/>
          <w:szCs w:val="24"/>
          <w:lang w:val="es-ES_tradnl"/>
        </w:rPr>
        <w:footnoteReference w:id="8"/>
      </w:r>
      <w:r w:rsidR="00911C54" w:rsidRPr="005F44E8">
        <w:rPr>
          <w:rFonts w:ascii="Arial" w:hAnsi="Arial" w:cs="Arial"/>
          <w:sz w:val="24"/>
          <w:szCs w:val="24"/>
          <w:lang w:val="es-ES_tradnl"/>
        </w:rPr>
        <w:t xml:space="preserve">, en tanto la asamblea electoral solo podía ser convocada por el Rector de la </w:t>
      </w:r>
      <w:r w:rsidR="00911C54" w:rsidRPr="005F44E8">
        <w:rPr>
          <w:rFonts w:ascii="Arial" w:hAnsi="Arial" w:cs="Arial"/>
          <w:color w:val="000000"/>
          <w:sz w:val="24"/>
          <w:szCs w:val="24"/>
        </w:rPr>
        <w:t xml:space="preserve">Universidad del Pacifico y no programada o citada por uno de los participantes a ser elegido a dicha representación, quien se arrogó irregularmente esta atribución. Así mismo, según la normatividad vigente, se debía emplazar </w:t>
      </w:r>
      <w:r w:rsidR="00911C54" w:rsidRPr="005F44E8">
        <w:rPr>
          <w:rFonts w:ascii="Arial" w:hAnsi="Arial" w:cs="Arial"/>
          <w:sz w:val="24"/>
          <w:szCs w:val="24"/>
        </w:rPr>
        <w:t xml:space="preserve">a todas aquellas personas que hubieren ocupado el cargo de Rector en propiedad, de las universidades estatales u oficiales de la región pacífica, lo cual no ocurrió, en tanto únicamente asistieron los </w:t>
      </w:r>
      <w:r w:rsidR="00911C54" w:rsidRPr="005F44E8">
        <w:rPr>
          <w:rFonts w:ascii="Arial" w:hAnsi="Arial" w:cs="Arial"/>
          <w:i/>
          <w:iCs/>
          <w:sz w:val="24"/>
          <w:szCs w:val="24"/>
        </w:rPr>
        <w:t>“candidatos”</w:t>
      </w:r>
      <w:r w:rsidR="00911C54" w:rsidRPr="005F44E8">
        <w:rPr>
          <w:rFonts w:ascii="Arial" w:hAnsi="Arial" w:cs="Arial"/>
          <w:sz w:val="24"/>
          <w:szCs w:val="24"/>
        </w:rPr>
        <w:t xml:space="preserve"> habilitados por el comité electoral.</w:t>
      </w:r>
    </w:p>
    <w:p w14:paraId="2C7118C7" w14:textId="09D0620A" w:rsidR="00BE54E9" w:rsidRPr="005F44E8" w:rsidRDefault="00BE54E9" w:rsidP="00237F33">
      <w:pPr>
        <w:spacing w:line="276" w:lineRule="auto"/>
        <w:jc w:val="both"/>
        <w:rPr>
          <w:rFonts w:ascii="Arial" w:hAnsi="Arial" w:cs="Arial"/>
          <w:sz w:val="24"/>
          <w:szCs w:val="24"/>
        </w:rPr>
      </w:pPr>
    </w:p>
    <w:p w14:paraId="6D88A901" w14:textId="5A56CFC2" w:rsidR="00237F33" w:rsidRPr="005F44E8" w:rsidRDefault="00122519" w:rsidP="00237F33">
      <w:pPr>
        <w:pStyle w:val="Default"/>
        <w:spacing w:line="276" w:lineRule="auto"/>
        <w:jc w:val="both"/>
        <w:rPr>
          <w:rFonts w:ascii="Arial" w:hAnsi="Arial" w:cs="Arial"/>
        </w:rPr>
      </w:pPr>
      <w:r w:rsidRPr="005F44E8">
        <w:rPr>
          <w:rFonts w:ascii="Arial" w:hAnsi="Arial" w:cs="Arial"/>
          <w:b/>
          <w:bCs/>
          <w:lang w:val="es-ES_tradnl"/>
        </w:rPr>
        <w:t>1.</w:t>
      </w:r>
      <w:r w:rsidRPr="005F44E8">
        <w:rPr>
          <w:rFonts w:ascii="Arial" w:hAnsi="Arial" w:cs="Arial"/>
          <w:b/>
          <w:bCs/>
        </w:rPr>
        <w:t xml:space="preserve">1.2. </w:t>
      </w:r>
      <w:r w:rsidR="003843D6" w:rsidRPr="005F44E8">
        <w:rPr>
          <w:rFonts w:ascii="Arial" w:hAnsi="Arial" w:cs="Arial"/>
        </w:rPr>
        <w:t>L</w:t>
      </w:r>
      <w:r w:rsidR="00BE54E9" w:rsidRPr="005F44E8">
        <w:rPr>
          <w:rFonts w:ascii="Arial" w:hAnsi="Arial" w:cs="Arial"/>
        </w:rPr>
        <w:t xml:space="preserve">a Nación – Ministerio de Educación Nacional, </w:t>
      </w:r>
      <w:r w:rsidR="00256231" w:rsidRPr="005F44E8">
        <w:rPr>
          <w:rFonts w:ascii="Arial" w:hAnsi="Arial" w:cs="Arial"/>
        </w:rPr>
        <w:t>la cual</w:t>
      </w:r>
      <w:r w:rsidR="003843D6" w:rsidRPr="005F44E8">
        <w:rPr>
          <w:rFonts w:ascii="Arial" w:hAnsi="Arial" w:cs="Arial"/>
        </w:rPr>
        <w:t xml:space="preserve"> acude a esta </w:t>
      </w:r>
      <w:proofErr w:type="spellStart"/>
      <w:r w:rsidR="003843D6" w:rsidRPr="005F44E8">
        <w:rPr>
          <w:rFonts w:ascii="Arial" w:hAnsi="Arial" w:cs="Arial"/>
          <w:i/>
          <w:iCs/>
        </w:rPr>
        <w:t>litis</w:t>
      </w:r>
      <w:proofErr w:type="spellEnd"/>
      <w:r w:rsidR="003843D6" w:rsidRPr="005F44E8">
        <w:rPr>
          <w:rFonts w:ascii="Arial" w:hAnsi="Arial" w:cs="Arial"/>
          <w:i/>
          <w:iCs/>
        </w:rPr>
        <w:t xml:space="preserve"> </w:t>
      </w:r>
      <w:r w:rsidR="003843D6" w:rsidRPr="005F44E8">
        <w:rPr>
          <w:rFonts w:ascii="Arial" w:hAnsi="Arial" w:cs="Arial"/>
        </w:rPr>
        <w:t xml:space="preserve">en calidad de integrante del Consejo Superior Universitario, a través de apoderado judicial </w:t>
      </w:r>
      <w:r w:rsidR="00BE54E9" w:rsidRPr="005F44E8">
        <w:rPr>
          <w:rFonts w:ascii="Arial" w:hAnsi="Arial" w:cs="Arial"/>
        </w:rPr>
        <w:t xml:space="preserve">contestó la demanda, argumentando que </w:t>
      </w:r>
      <w:r w:rsidR="00237F33" w:rsidRPr="005F44E8">
        <w:rPr>
          <w:rFonts w:ascii="Arial" w:hAnsi="Arial" w:cs="Arial"/>
        </w:rPr>
        <w:t xml:space="preserve">se </w:t>
      </w:r>
      <w:r w:rsidR="00237F33" w:rsidRPr="005F44E8">
        <w:rPr>
          <w:rStyle w:val="normaltextrun"/>
          <w:rFonts w:ascii="Arial" w:hAnsi="Arial" w:cs="Arial"/>
          <w:bdr w:val="none" w:sz="0" w:space="0" w:color="auto" w:frame="1"/>
        </w:rPr>
        <w:t xml:space="preserve">oponía a la pretensión anulatoria del acto de elección demandado y que </w:t>
      </w:r>
      <w:r w:rsidR="00237F33" w:rsidRPr="005F44E8">
        <w:rPr>
          <w:rFonts w:ascii="Arial" w:hAnsi="Arial" w:cs="Arial"/>
        </w:rPr>
        <w:t>el Consejo Superior de la Universidad no tiene injerencia sobre el desarrollo del proceso de elección del representante de los ex</w:t>
      </w:r>
      <w:r w:rsidR="00256231" w:rsidRPr="005F44E8">
        <w:rPr>
          <w:rFonts w:ascii="Arial" w:hAnsi="Arial" w:cs="Arial"/>
        </w:rPr>
        <w:t xml:space="preserve"> - R</w:t>
      </w:r>
      <w:r w:rsidR="00237F33" w:rsidRPr="005F44E8">
        <w:rPr>
          <w:rFonts w:ascii="Arial" w:hAnsi="Arial" w:cs="Arial"/>
        </w:rPr>
        <w:t xml:space="preserve">ectores, por cuanto según se establece en el reglamento electoral de la Universidad, sus funciones se limitan a: </w:t>
      </w:r>
      <w:r w:rsidR="00237F33" w:rsidRPr="005F44E8">
        <w:rPr>
          <w:rFonts w:ascii="Arial" w:hAnsi="Arial" w:cs="Arial"/>
          <w:b/>
          <w:bCs/>
        </w:rPr>
        <w:t xml:space="preserve">i) </w:t>
      </w:r>
      <w:r w:rsidR="00256231" w:rsidRPr="005F44E8">
        <w:rPr>
          <w:rFonts w:ascii="Arial" w:hAnsi="Arial" w:cs="Arial"/>
        </w:rPr>
        <w:t>e</w:t>
      </w:r>
      <w:r w:rsidR="00237F33" w:rsidRPr="005F44E8">
        <w:rPr>
          <w:rFonts w:ascii="Arial" w:hAnsi="Arial" w:cs="Arial"/>
        </w:rPr>
        <w:t xml:space="preserve">xpedir el estatuto electoral; </w:t>
      </w:r>
      <w:r w:rsidR="00237F33" w:rsidRPr="005F44E8">
        <w:rPr>
          <w:rFonts w:ascii="Arial" w:hAnsi="Arial" w:cs="Arial"/>
          <w:b/>
          <w:bCs/>
        </w:rPr>
        <w:t xml:space="preserve">ii) </w:t>
      </w:r>
      <w:r w:rsidR="00256231" w:rsidRPr="005F44E8">
        <w:rPr>
          <w:rFonts w:ascii="Arial" w:hAnsi="Arial" w:cs="Arial"/>
        </w:rPr>
        <w:t>d</w:t>
      </w:r>
      <w:r w:rsidR="00237F33" w:rsidRPr="005F44E8">
        <w:rPr>
          <w:rFonts w:ascii="Arial" w:hAnsi="Arial" w:cs="Arial"/>
        </w:rPr>
        <w:t xml:space="preserve">efinir el cronograma electoral en el proceso de designación del rector; </w:t>
      </w:r>
      <w:r w:rsidR="00EB4BA6" w:rsidRPr="005F44E8">
        <w:rPr>
          <w:rFonts w:ascii="Arial" w:hAnsi="Arial" w:cs="Arial"/>
          <w:b/>
          <w:bCs/>
        </w:rPr>
        <w:t>iii</w:t>
      </w:r>
      <w:r w:rsidR="00237F33" w:rsidRPr="005F44E8">
        <w:rPr>
          <w:rFonts w:ascii="Arial" w:hAnsi="Arial" w:cs="Arial"/>
          <w:b/>
          <w:bCs/>
        </w:rPr>
        <w:t xml:space="preserve">) </w:t>
      </w:r>
      <w:r w:rsidR="00256231" w:rsidRPr="005F44E8">
        <w:rPr>
          <w:rFonts w:ascii="Arial" w:hAnsi="Arial" w:cs="Arial"/>
        </w:rPr>
        <w:t>c</w:t>
      </w:r>
      <w:r w:rsidR="00237F33" w:rsidRPr="005F44E8">
        <w:rPr>
          <w:rFonts w:ascii="Arial" w:hAnsi="Arial" w:cs="Arial"/>
        </w:rPr>
        <w:t xml:space="preserve">onformar la terna de candidatos a la Rectoría y, </w:t>
      </w:r>
      <w:r w:rsidR="00EB4BA6" w:rsidRPr="005F44E8">
        <w:rPr>
          <w:rFonts w:ascii="Arial" w:hAnsi="Arial" w:cs="Arial"/>
          <w:b/>
          <w:bCs/>
        </w:rPr>
        <w:t>iv</w:t>
      </w:r>
      <w:r w:rsidR="00237F33" w:rsidRPr="005F44E8">
        <w:rPr>
          <w:rFonts w:ascii="Arial" w:hAnsi="Arial" w:cs="Arial"/>
          <w:b/>
          <w:bCs/>
        </w:rPr>
        <w:t xml:space="preserve">) </w:t>
      </w:r>
      <w:r w:rsidR="00256231" w:rsidRPr="005F44E8">
        <w:rPr>
          <w:rFonts w:ascii="Arial" w:hAnsi="Arial" w:cs="Arial"/>
        </w:rPr>
        <w:t>d</w:t>
      </w:r>
      <w:r w:rsidR="00237F33" w:rsidRPr="005F44E8">
        <w:rPr>
          <w:rFonts w:ascii="Arial" w:hAnsi="Arial" w:cs="Arial"/>
        </w:rPr>
        <w:t>esignar de la terna de candidatos resultante</w:t>
      </w:r>
      <w:r w:rsidR="00F32057" w:rsidRPr="005F44E8">
        <w:rPr>
          <w:rFonts w:ascii="Arial" w:hAnsi="Arial" w:cs="Arial"/>
        </w:rPr>
        <w:t>,</w:t>
      </w:r>
      <w:r w:rsidR="00237F33" w:rsidRPr="005F44E8">
        <w:rPr>
          <w:rFonts w:ascii="Arial" w:hAnsi="Arial" w:cs="Arial"/>
        </w:rPr>
        <w:t xml:space="preserve"> al rector (a) de la Universidad. Por consiguiente, </w:t>
      </w:r>
      <w:r w:rsidR="00EB4BA6" w:rsidRPr="005F44E8">
        <w:rPr>
          <w:rFonts w:ascii="Arial" w:hAnsi="Arial" w:cs="Arial"/>
        </w:rPr>
        <w:t xml:space="preserve">considera que </w:t>
      </w:r>
      <w:r w:rsidR="00237F33" w:rsidRPr="005F44E8">
        <w:rPr>
          <w:rFonts w:ascii="Arial" w:hAnsi="Arial" w:cs="Arial"/>
        </w:rPr>
        <w:t xml:space="preserve">dicho colegiado no puede emitir pronunciamiento frente a cada uno de los cuestionamientos que realiza el demandante en torno a la forma como se realizó la asamblea o la convocatoria de la misma, pues, como se ha señalado, no hubo participación del máximo órgano de dirección y gobierno en dicho proceso electoral. </w:t>
      </w:r>
    </w:p>
    <w:p w14:paraId="6D43A1EA" w14:textId="77777777" w:rsidR="00237F33" w:rsidRPr="005F44E8" w:rsidRDefault="00237F33" w:rsidP="00237F33">
      <w:pPr>
        <w:pStyle w:val="Default"/>
        <w:spacing w:line="276" w:lineRule="auto"/>
        <w:rPr>
          <w:rFonts w:ascii="Arial" w:hAnsi="Arial" w:cs="Arial"/>
        </w:rPr>
      </w:pPr>
    </w:p>
    <w:p w14:paraId="658731FE" w14:textId="32784607" w:rsidR="00237F33" w:rsidRPr="005F44E8" w:rsidRDefault="00EB4BA6" w:rsidP="00237F33">
      <w:pPr>
        <w:spacing w:line="276" w:lineRule="auto"/>
        <w:jc w:val="both"/>
        <w:rPr>
          <w:rStyle w:val="normaltextrun"/>
          <w:rFonts w:ascii="Arial" w:hAnsi="Arial" w:cs="Arial"/>
          <w:color w:val="000000"/>
          <w:sz w:val="24"/>
          <w:szCs w:val="24"/>
          <w:bdr w:val="none" w:sz="0" w:space="0" w:color="auto" w:frame="1"/>
        </w:rPr>
      </w:pPr>
      <w:r w:rsidRPr="005F44E8">
        <w:rPr>
          <w:rFonts w:ascii="Arial" w:eastAsiaTheme="minorHAnsi" w:hAnsi="Arial" w:cs="Arial"/>
          <w:color w:val="000000"/>
          <w:sz w:val="24"/>
          <w:szCs w:val="24"/>
          <w:lang w:val="es-MX"/>
        </w:rPr>
        <w:t>Aunado a lo anterior, precisó</w:t>
      </w:r>
      <w:r w:rsidR="00237F33" w:rsidRPr="005F44E8">
        <w:rPr>
          <w:rFonts w:ascii="Arial" w:eastAsiaTheme="minorHAnsi" w:hAnsi="Arial" w:cs="Arial"/>
          <w:color w:val="000000"/>
          <w:sz w:val="24"/>
          <w:szCs w:val="24"/>
          <w:lang w:val="es-MX"/>
        </w:rPr>
        <w:t xml:space="preserve"> que de </w:t>
      </w:r>
      <w:r w:rsidRPr="005F44E8">
        <w:rPr>
          <w:rFonts w:ascii="Arial" w:eastAsiaTheme="minorHAnsi" w:hAnsi="Arial" w:cs="Arial"/>
          <w:color w:val="000000"/>
          <w:sz w:val="24"/>
          <w:szCs w:val="24"/>
          <w:lang w:val="es-MX"/>
        </w:rPr>
        <w:t>acuerdo</w:t>
      </w:r>
      <w:r w:rsidR="00237F33" w:rsidRPr="005F44E8">
        <w:rPr>
          <w:rFonts w:ascii="Arial" w:eastAsiaTheme="minorHAnsi" w:hAnsi="Arial" w:cs="Arial"/>
          <w:color w:val="000000"/>
          <w:sz w:val="24"/>
          <w:szCs w:val="24"/>
          <w:lang w:val="es-MX"/>
        </w:rPr>
        <w:t xml:space="preserve"> con los artículos 64 y 65 de la Ley 30 de 1992 y las normas consagradas en el reglamento interno del Consejo Superior Universitario, el Ministerio de Educación Nacional no se encuentra en posición de dar una respuesta a </w:t>
      </w:r>
      <w:r w:rsidR="00237F33" w:rsidRPr="005F44E8">
        <w:rPr>
          <w:rFonts w:ascii="Arial" w:eastAsiaTheme="minorHAnsi" w:hAnsi="Arial" w:cs="Arial"/>
          <w:i/>
          <w:iCs/>
          <w:color w:val="000000"/>
          <w:sz w:val="24"/>
          <w:szCs w:val="24"/>
          <w:lang w:val="es-MX"/>
        </w:rPr>
        <w:t>motu propio</w:t>
      </w:r>
      <w:r w:rsidR="00237F33" w:rsidRPr="005F44E8">
        <w:rPr>
          <w:rFonts w:ascii="Arial" w:eastAsiaTheme="minorHAnsi" w:hAnsi="Arial" w:cs="Arial"/>
          <w:color w:val="000000"/>
          <w:sz w:val="24"/>
          <w:szCs w:val="24"/>
          <w:lang w:val="es-MX"/>
        </w:rPr>
        <w:t>, en razón a que no está llamado a responder como entidad o de manera personal, sino como parte integrante del Consejo Superior Universitario, por lo que cualquier decisión sobre el presente asunto debe darse de manera consultada y consensuada al interior del máximo órgano colegiado de administración de la Universidad del Pacífico.</w:t>
      </w:r>
    </w:p>
    <w:p w14:paraId="067D39FD" w14:textId="77777777" w:rsidR="000648EC" w:rsidRPr="005F44E8" w:rsidRDefault="000648EC" w:rsidP="000648EC">
      <w:pPr>
        <w:spacing w:line="276" w:lineRule="auto"/>
        <w:rPr>
          <w:rFonts w:ascii="Arial" w:hAnsi="Arial" w:cs="Arial"/>
          <w:b/>
          <w:bCs/>
          <w:sz w:val="24"/>
          <w:szCs w:val="24"/>
        </w:rPr>
      </w:pPr>
    </w:p>
    <w:p w14:paraId="0D264AF9" w14:textId="77777777" w:rsidR="000648EC" w:rsidRPr="005F44E8" w:rsidRDefault="000648EC" w:rsidP="000648EC">
      <w:pPr>
        <w:spacing w:line="276" w:lineRule="auto"/>
        <w:jc w:val="center"/>
        <w:rPr>
          <w:rFonts w:ascii="Arial" w:hAnsi="Arial" w:cs="Arial"/>
          <w:b/>
          <w:bCs/>
          <w:sz w:val="24"/>
          <w:szCs w:val="24"/>
          <w:lang w:val="es-ES"/>
        </w:rPr>
      </w:pPr>
      <w:r w:rsidRPr="005F44E8">
        <w:rPr>
          <w:rFonts w:ascii="Arial" w:hAnsi="Arial" w:cs="Arial"/>
          <w:b/>
          <w:bCs/>
          <w:sz w:val="24"/>
          <w:szCs w:val="24"/>
          <w:lang w:val="es-ES"/>
        </w:rPr>
        <w:lastRenderedPageBreak/>
        <w:t>II. CONSIDERACIONES</w:t>
      </w:r>
    </w:p>
    <w:p w14:paraId="1116DE71" w14:textId="77777777" w:rsidR="000648EC" w:rsidRPr="005F44E8" w:rsidRDefault="000648EC" w:rsidP="000648EC">
      <w:pPr>
        <w:spacing w:line="276" w:lineRule="auto"/>
        <w:jc w:val="both"/>
        <w:rPr>
          <w:rFonts w:ascii="Arial" w:hAnsi="Arial" w:cs="Arial"/>
          <w:b/>
          <w:bCs/>
          <w:sz w:val="24"/>
          <w:szCs w:val="24"/>
        </w:rPr>
      </w:pPr>
    </w:p>
    <w:p w14:paraId="3560606E" w14:textId="77777777" w:rsidR="000648EC" w:rsidRPr="005F44E8" w:rsidRDefault="000648EC" w:rsidP="000648EC">
      <w:pPr>
        <w:spacing w:line="276" w:lineRule="auto"/>
        <w:jc w:val="both"/>
        <w:rPr>
          <w:rFonts w:ascii="Arial" w:eastAsia="Times New Roman" w:hAnsi="Arial" w:cs="Arial"/>
          <w:b/>
          <w:sz w:val="24"/>
          <w:szCs w:val="24"/>
          <w:lang w:eastAsia="es-ES"/>
        </w:rPr>
      </w:pPr>
      <w:r w:rsidRPr="005F44E8">
        <w:rPr>
          <w:rFonts w:ascii="Arial" w:eastAsia="Times New Roman" w:hAnsi="Arial" w:cs="Arial"/>
          <w:b/>
          <w:sz w:val="24"/>
          <w:szCs w:val="24"/>
          <w:lang w:eastAsia="es-ES"/>
        </w:rPr>
        <w:t>2.1. Competencia</w:t>
      </w:r>
    </w:p>
    <w:p w14:paraId="4D602B76" w14:textId="77777777" w:rsidR="000648EC" w:rsidRPr="005F44E8" w:rsidRDefault="000648EC" w:rsidP="000648EC">
      <w:pPr>
        <w:spacing w:line="276" w:lineRule="auto"/>
        <w:jc w:val="both"/>
        <w:rPr>
          <w:rFonts w:ascii="Arial" w:eastAsia="Times New Roman" w:hAnsi="Arial" w:cs="Arial"/>
          <w:b/>
          <w:sz w:val="16"/>
          <w:szCs w:val="16"/>
          <w:lang w:eastAsia="es-ES"/>
        </w:rPr>
      </w:pPr>
    </w:p>
    <w:p w14:paraId="7D701CFD" w14:textId="5F751575" w:rsidR="000648EC" w:rsidRPr="005F44E8" w:rsidRDefault="000648EC" w:rsidP="000648EC">
      <w:pPr>
        <w:spacing w:line="276" w:lineRule="auto"/>
        <w:jc w:val="both"/>
        <w:rPr>
          <w:rFonts w:ascii="Arial" w:eastAsia="Times New Roman" w:hAnsi="Arial" w:cs="Arial"/>
          <w:sz w:val="24"/>
          <w:szCs w:val="24"/>
          <w:lang w:eastAsia="es-ES"/>
        </w:rPr>
      </w:pPr>
      <w:r w:rsidRPr="005F44E8">
        <w:rPr>
          <w:rFonts w:ascii="Arial" w:eastAsia="Times New Roman" w:hAnsi="Arial" w:cs="Arial"/>
          <w:sz w:val="24"/>
          <w:szCs w:val="24"/>
          <w:lang w:eastAsia="es-ES"/>
        </w:rPr>
        <w:t xml:space="preserve">El magistrado ponente es competente para </w:t>
      </w:r>
      <w:r w:rsidRPr="005F44E8">
        <w:rPr>
          <w:rFonts w:ascii="Arial" w:hAnsi="Arial" w:cs="Arial"/>
          <w:sz w:val="24"/>
          <w:szCs w:val="24"/>
        </w:rPr>
        <w:t xml:space="preserve">determinar si se debe acudir a la </w:t>
      </w:r>
      <w:r w:rsidRPr="005F44E8">
        <w:rPr>
          <w:rFonts w:ascii="Arial" w:hAnsi="Arial" w:cs="Arial"/>
          <w:i/>
          <w:iCs/>
          <w:sz w:val="24"/>
          <w:szCs w:val="24"/>
        </w:rPr>
        <w:t>“sentencia anticipada”</w:t>
      </w:r>
      <w:r w:rsidRPr="005F44E8">
        <w:rPr>
          <w:rFonts w:ascii="Arial" w:hAnsi="Arial" w:cs="Arial"/>
          <w:sz w:val="24"/>
          <w:szCs w:val="24"/>
        </w:rPr>
        <w:t xml:space="preserve"> contemplada en el artículo 182A</w:t>
      </w:r>
      <w:r w:rsidRPr="005F44E8">
        <w:rPr>
          <w:rFonts w:ascii="Arial" w:eastAsia="Times New Roman" w:hAnsi="Arial" w:cs="Arial"/>
          <w:sz w:val="24"/>
          <w:szCs w:val="24"/>
          <w:lang w:eastAsia="es-ES"/>
        </w:rPr>
        <w:t xml:space="preserve"> del CPACA</w:t>
      </w:r>
      <w:r w:rsidR="00BE54E9" w:rsidRPr="005F44E8">
        <w:rPr>
          <w:rStyle w:val="Refdenotaalpie"/>
          <w:rFonts w:ascii="Arial" w:eastAsia="Times New Roman" w:hAnsi="Arial" w:cs="Arial"/>
          <w:sz w:val="24"/>
          <w:szCs w:val="24"/>
          <w:lang w:eastAsia="es-ES"/>
        </w:rPr>
        <w:footnoteReference w:id="9"/>
      </w:r>
      <w:r w:rsidRPr="005F44E8">
        <w:rPr>
          <w:rFonts w:ascii="Arial" w:hAnsi="Arial" w:cs="Arial"/>
          <w:iCs/>
          <w:sz w:val="24"/>
          <w:szCs w:val="24"/>
          <w:lang w:val="es-ES_tradnl"/>
        </w:rPr>
        <w:t xml:space="preserve">, </w:t>
      </w:r>
      <w:r w:rsidRPr="005F44E8">
        <w:rPr>
          <w:rFonts w:ascii="Arial" w:eastAsia="Times New Roman" w:hAnsi="Arial" w:cs="Arial"/>
          <w:sz w:val="24"/>
          <w:szCs w:val="24"/>
          <w:lang w:eastAsia="es-ES"/>
        </w:rPr>
        <w:t>con fundamento en lo dispuesto en el numeral 3º del artículo 125 de</w:t>
      </w:r>
      <w:r w:rsidR="00BE54E9" w:rsidRPr="005F44E8">
        <w:rPr>
          <w:rFonts w:ascii="Arial" w:eastAsia="Times New Roman" w:hAnsi="Arial" w:cs="Arial"/>
          <w:sz w:val="24"/>
          <w:szCs w:val="24"/>
          <w:lang w:eastAsia="es-ES"/>
        </w:rPr>
        <w:t>l mismo estatuto procesal.</w:t>
      </w:r>
    </w:p>
    <w:p w14:paraId="51150EEB" w14:textId="77777777" w:rsidR="000648EC" w:rsidRPr="005F44E8" w:rsidRDefault="000648EC" w:rsidP="000648EC">
      <w:pPr>
        <w:spacing w:line="276" w:lineRule="auto"/>
        <w:jc w:val="both"/>
        <w:rPr>
          <w:rFonts w:ascii="Arial" w:eastAsia="Times New Roman" w:hAnsi="Arial" w:cs="Arial"/>
          <w:sz w:val="24"/>
          <w:szCs w:val="24"/>
          <w:lang w:eastAsia="es-ES"/>
        </w:rPr>
      </w:pPr>
    </w:p>
    <w:p w14:paraId="2FEA34B3" w14:textId="56FFAB94" w:rsidR="000648EC" w:rsidRPr="005F44E8" w:rsidRDefault="000648EC" w:rsidP="000648EC">
      <w:pPr>
        <w:spacing w:line="276" w:lineRule="auto"/>
        <w:jc w:val="both"/>
        <w:rPr>
          <w:rFonts w:ascii="Arial" w:hAnsi="Arial" w:cs="Arial"/>
          <w:b/>
          <w:bCs/>
          <w:sz w:val="24"/>
          <w:szCs w:val="24"/>
        </w:rPr>
      </w:pPr>
      <w:r w:rsidRPr="005F44E8">
        <w:rPr>
          <w:rFonts w:ascii="Arial" w:hAnsi="Arial" w:cs="Arial"/>
          <w:b/>
          <w:bCs/>
          <w:sz w:val="24"/>
          <w:szCs w:val="24"/>
        </w:rPr>
        <w:t>2.2</w:t>
      </w:r>
      <w:r w:rsidR="000114C7" w:rsidRPr="005F44E8">
        <w:rPr>
          <w:rFonts w:ascii="Arial" w:hAnsi="Arial" w:cs="Arial"/>
          <w:b/>
          <w:bCs/>
          <w:sz w:val="24"/>
          <w:szCs w:val="24"/>
        </w:rPr>
        <w:t>.</w:t>
      </w:r>
      <w:r w:rsidRPr="005F44E8">
        <w:rPr>
          <w:rFonts w:ascii="Arial" w:hAnsi="Arial" w:cs="Arial"/>
          <w:b/>
          <w:bCs/>
          <w:sz w:val="24"/>
          <w:szCs w:val="24"/>
        </w:rPr>
        <w:t xml:space="preserve"> La sentencia anticipada en materia contenciosa administrativa.</w:t>
      </w:r>
    </w:p>
    <w:p w14:paraId="46F47D03" w14:textId="77777777" w:rsidR="000648EC" w:rsidRPr="005F44E8" w:rsidRDefault="000648EC" w:rsidP="000648EC">
      <w:pPr>
        <w:spacing w:line="276" w:lineRule="auto"/>
        <w:jc w:val="both"/>
        <w:rPr>
          <w:rFonts w:ascii="Arial" w:hAnsi="Arial" w:cs="Arial"/>
          <w:sz w:val="24"/>
          <w:szCs w:val="24"/>
        </w:rPr>
      </w:pPr>
    </w:p>
    <w:p w14:paraId="2C6CA898" w14:textId="77777777"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 xml:space="preserve">La figura de la sentencia anticipada se remonta al antiguo Código de Procedimiento Civil – Decreto 1400 de 1970 –, que en su artículo 97 prescribía: </w:t>
      </w:r>
      <w:r w:rsidRPr="005F44E8">
        <w:rPr>
          <w:rFonts w:ascii="Arial" w:hAnsi="Arial" w:cs="Arial"/>
          <w:i/>
          <w:iCs/>
          <w:sz w:val="24"/>
          <w:szCs w:val="24"/>
        </w:rPr>
        <w:t>“Cuando el juez encuentre probada cualquiera de estas excepciones [previas], lo declarará mediante sentencia anticipada.”</w:t>
      </w:r>
      <w:r w:rsidRPr="005F44E8">
        <w:rPr>
          <w:rFonts w:ascii="Arial" w:hAnsi="Arial" w:cs="Arial"/>
          <w:sz w:val="24"/>
          <w:szCs w:val="24"/>
        </w:rPr>
        <w:t xml:space="preserve">. De igual forma, el Código General del Proceso – Ley 1564 de 2012 –, mantuvo incólume la posibilidad de emitir un pronunciamiento definitivo pretermitiendo ciertas etapas del proceso, agregando otros dos supuestos de hecho en los que se puede hacer uso de dicho mecanismo de resolución temprana de la </w:t>
      </w:r>
      <w:proofErr w:type="spellStart"/>
      <w:r w:rsidRPr="005F44E8">
        <w:rPr>
          <w:rFonts w:ascii="Arial" w:hAnsi="Arial" w:cs="Arial"/>
          <w:i/>
          <w:iCs/>
          <w:sz w:val="24"/>
          <w:szCs w:val="24"/>
        </w:rPr>
        <w:t>litis</w:t>
      </w:r>
      <w:proofErr w:type="spellEnd"/>
      <w:r w:rsidRPr="005F44E8">
        <w:rPr>
          <w:rStyle w:val="Refdenotaalpie"/>
          <w:rFonts w:ascii="Arial" w:hAnsi="Arial" w:cs="Arial"/>
          <w:i/>
          <w:iCs/>
          <w:sz w:val="24"/>
          <w:szCs w:val="24"/>
        </w:rPr>
        <w:footnoteReference w:id="10"/>
      </w:r>
      <w:r w:rsidRPr="005F44E8">
        <w:rPr>
          <w:rFonts w:ascii="Arial" w:hAnsi="Arial" w:cs="Arial"/>
          <w:sz w:val="24"/>
          <w:szCs w:val="24"/>
        </w:rPr>
        <w:t xml:space="preserve">. </w:t>
      </w:r>
    </w:p>
    <w:p w14:paraId="5F8C9427" w14:textId="77777777" w:rsidR="000648EC" w:rsidRPr="005F44E8" w:rsidRDefault="000648EC" w:rsidP="000648EC">
      <w:pPr>
        <w:spacing w:line="276" w:lineRule="auto"/>
        <w:jc w:val="both"/>
        <w:rPr>
          <w:rFonts w:ascii="Arial" w:hAnsi="Arial" w:cs="Arial"/>
          <w:sz w:val="24"/>
          <w:szCs w:val="24"/>
        </w:rPr>
      </w:pPr>
    </w:p>
    <w:p w14:paraId="2F1C7A34" w14:textId="77777777"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 xml:space="preserve">En materia contenciosa administrativa, desde la expedición de la Ley 1437 de 2011, no le fue extraño a esta jurisdicción, la tipificación de ciertas circunstancias que precipitan una resolución de fondo sin necesidad de agotar todas las etapas procesales. En efecto, el artículo 176 del CPACA obliga al operador judicial a dictar sentencia cuando la nación o entidad pública se allane a la demanda o transija los derechos en litigio; igual, previó que cuando se trata de asuntos de puro derecho o no es necesario practicar pruebas, se puede omitir las demás etapas y emitir el fallo en la audiencia inicial, según lo ordena el artículo 179 de esa codificación. </w:t>
      </w:r>
    </w:p>
    <w:p w14:paraId="7288F527" w14:textId="77777777" w:rsidR="000648EC" w:rsidRPr="005F44E8" w:rsidRDefault="000648EC" w:rsidP="000648EC">
      <w:pPr>
        <w:spacing w:line="276" w:lineRule="auto"/>
        <w:jc w:val="both"/>
        <w:rPr>
          <w:rFonts w:ascii="Arial" w:hAnsi="Arial" w:cs="Arial"/>
          <w:sz w:val="24"/>
          <w:szCs w:val="24"/>
        </w:rPr>
      </w:pPr>
    </w:p>
    <w:p w14:paraId="0B31D853" w14:textId="77777777"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Sin embargo, fue con el Decreto Legislativo 806 de 2020, expedido en el marco de Estado de Emergencia Económica, Social y Ecológica</w:t>
      </w:r>
      <w:r w:rsidRPr="005F44E8">
        <w:rPr>
          <w:rStyle w:val="Refdenotaalpie"/>
          <w:rFonts w:ascii="Arial" w:hAnsi="Arial" w:cs="Arial"/>
          <w:sz w:val="24"/>
          <w:szCs w:val="24"/>
        </w:rPr>
        <w:footnoteReference w:id="11"/>
      </w:r>
      <w:r w:rsidRPr="005F44E8">
        <w:rPr>
          <w:rFonts w:ascii="Arial" w:hAnsi="Arial" w:cs="Arial"/>
          <w:sz w:val="24"/>
          <w:szCs w:val="24"/>
        </w:rPr>
        <w:t xml:space="preserve">, que formalmente se incorporó la figura de la sentencia anticipada en lo contencioso administrativo, retomándose los dos supuestos que se citaron anteriormente e incorporando a la legislación procesal contenciosa otros que eran propios de la codificación general, así:  </w:t>
      </w:r>
    </w:p>
    <w:p w14:paraId="1244A512" w14:textId="77777777" w:rsidR="000648EC" w:rsidRPr="005F44E8" w:rsidRDefault="000648EC" w:rsidP="000648EC">
      <w:pPr>
        <w:spacing w:line="276" w:lineRule="auto"/>
        <w:jc w:val="both"/>
        <w:rPr>
          <w:rFonts w:ascii="Arial" w:hAnsi="Arial" w:cs="Arial"/>
          <w:sz w:val="24"/>
          <w:szCs w:val="24"/>
        </w:rPr>
      </w:pPr>
    </w:p>
    <w:p w14:paraId="6E7D70DD" w14:textId="77777777" w:rsidR="000648EC" w:rsidRPr="005F44E8" w:rsidRDefault="000648EC" w:rsidP="000648EC">
      <w:pPr>
        <w:ind w:left="708"/>
        <w:jc w:val="both"/>
        <w:rPr>
          <w:rFonts w:ascii="Arial" w:hAnsi="Arial" w:cs="Arial"/>
        </w:rPr>
      </w:pPr>
      <w:r w:rsidRPr="005F44E8">
        <w:rPr>
          <w:rFonts w:ascii="Arial" w:hAnsi="Arial" w:cs="Arial"/>
          <w:b/>
          <w:bCs/>
        </w:rPr>
        <w:lastRenderedPageBreak/>
        <w:t>Artículo 13. Sentencia anticipada en lo contencioso administrativo</w:t>
      </w:r>
      <w:r w:rsidRPr="005F44E8">
        <w:rPr>
          <w:rFonts w:ascii="Arial" w:hAnsi="Arial" w:cs="Arial"/>
        </w:rPr>
        <w:t>. El juzgador deberá dictar sentencia anticipada:  </w:t>
      </w:r>
    </w:p>
    <w:p w14:paraId="5D5FB982" w14:textId="77777777" w:rsidR="000648EC" w:rsidRPr="005F44E8" w:rsidRDefault="000648EC" w:rsidP="000648EC">
      <w:pPr>
        <w:jc w:val="both"/>
        <w:rPr>
          <w:rFonts w:ascii="Arial" w:hAnsi="Arial" w:cs="Arial"/>
          <w:sz w:val="24"/>
          <w:szCs w:val="24"/>
        </w:rPr>
      </w:pPr>
      <w:r w:rsidRPr="005F44E8">
        <w:rPr>
          <w:rFonts w:ascii="Arial" w:hAnsi="Arial" w:cs="Arial"/>
          <w:sz w:val="24"/>
          <w:szCs w:val="24"/>
        </w:rPr>
        <w:t>  </w:t>
      </w:r>
    </w:p>
    <w:p w14:paraId="3C5C875E" w14:textId="77777777" w:rsidR="000648EC" w:rsidRPr="005F44E8" w:rsidRDefault="000648EC" w:rsidP="000648EC">
      <w:pPr>
        <w:ind w:left="708"/>
        <w:jc w:val="both"/>
        <w:rPr>
          <w:rFonts w:ascii="Arial" w:hAnsi="Arial" w:cs="Arial"/>
        </w:rPr>
      </w:pPr>
      <w:r w:rsidRPr="005F44E8">
        <w:rPr>
          <w:rFonts w:ascii="Arial" w:hAnsi="Arial" w:cs="Arial"/>
        </w:rPr>
        <w:t>1. Antes de la audiencia inicial, cuando se trate de asuntos de puro derecho o no fuere necesario practicar pruebas, caso en el cual correrá traslado para alegar por escrito, en la forma prevista en el inciso final del artículo 181 de la Ley 1437 de 2011 y la sentencia se proferirá por escrito.  </w:t>
      </w:r>
    </w:p>
    <w:p w14:paraId="44C20481" w14:textId="77777777" w:rsidR="000648EC" w:rsidRPr="005F44E8" w:rsidRDefault="000648EC" w:rsidP="000648EC">
      <w:pPr>
        <w:ind w:left="708"/>
        <w:jc w:val="both"/>
        <w:rPr>
          <w:rFonts w:ascii="Arial" w:hAnsi="Arial" w:cs="Arial"/>
        </w:rPr>
      </w:pPr>
      <w:r w:rsidRPr="005F44E8">
        <w:rPr>
          <w:rFonts w:ascii="Arial" w:hAnsi="Arial" w:cs="Arial"/>
        </w:rPr>
        <w:t>  </w:t>
      </w:r>
    </w:p>
    <w:p w14:paraId="62339D28" w14:textId="77777777" w:rsidR="000648EC" w:rsidRPr="005F44E8" w:rsidRDefault="000648EC" w:rsidP="000648EC">
      <w:pPr>
        <w:ind w:left="708"/>
        <w:jc w:val="both"/>
        <w:rPr>
          <w:rFonts w:ascii="Arial" w:hAnsi="Arial" w:cs="Arial"/>
        </w:rPr>
      </w:pPr>
      <w:r w:rsidRPr="005F44E8">
        <w:rPr>
          <w:rFonts w:ascii="Arial" w:hAnsi="Arial" w:cs="Arial"/>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 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  </w:t>
      </w:r>
    </w:p>
    <w:p w14:paraId="7120EEA1" w14:textId="77777777" w:rsidR="000648EC" w:rsidRPr="005F44E8" w:rsidRDefault="000648EC" w:rsidP="000648EC">
      <w:pPr>
        <w:ind w:left="708"/>
        <w:jc w:val="both"/>
        <w:rPr>
          <w:rFonts w:ascii="Arial" w:hAnsi="Arial" w:cs="Arial"/>
        </w:rPr>
      </w:pPr>
      <w:r w:rsidRPr="005F44E8">
        <w:rPr>
          <w:rFonts w:ascii="Arial" w:hAnsi="Arial" w:cs="Arial"/>
        </w:rPr>
        <w:t>  </w:t>
      </w:r>
    </w:p>
    <w:p w14:paraId="176F944C" w14:textId="77777777" w:rsidR="000648EC" w:rsidRPr="005F44E8" w:rsidRDefault="000648EC" w:rsidP="000648EC">
      <w:pPr>
        <w:ind w:left="708"/>
        <w:jc w:val="both"/>
        <w:rPr>
          <w:rFonts w:ascii="Arial" w:hAnsi="Arial" w:cs="Arial"/>
        </w:rPr>
      </w:pPr>
      <w:r w:rsidRPr="005F44E8">
        <w:rPr>
          <w:rFonts w:ascii="Arial" w:hAnsi="Arial" w:cs="Arial"/>
        </w:rPr>
        <w:t>3. En la segunda etapa del proceso prevista en el artículo 179 de la Ley 1437 de 2011, cuando encuentre probada la cosa juzgada, la transacción, la conciliación, la caducidad, la prescripción extintiva y la falta de legitimación en la causa. La sentencia se dictará oralmente en audiencia o se proferirá por escrito. En este caso no se correrá traslado para alegar.  </w:t>
      </w:r>
    </w:p>
    <w:p w14:paraId="2E98DA30" w14:textId="77777777" w:rsidR="000648EC" w:rsidRPr="005F44E8" w:rsidRDefault="000648EC" w:rsidP="000648EC">
      <w:pPr>
        <w:ind w:left="708"/>
        <w:jc w:val="both"/>
        <w:rPr>
          <w:rFonts w:ascii="Arial" w:hAnsi="Arial" w:cs="Arial"/>
        </w:rPr>
      </w:pPr>
      <w:r w:rsidRPr="005F44E8">
        <w:rPr>
          <w:rFonts w:ascii="Arial" w:hAnsi="Arial" w:cs="Arial"/>
        </w:rPr>
        <w:t>  </w:t>
      </w:r>
    </w:p>
    <w:p w14:paraId="38F72E37" w14:textId="77777777" w:rsidR="000648EC" w:rsidRPr="005F44E8" w:rsidRDefault="000648EC" w:rsidP="000648EC">
      <w:pPr>
        <w:ind w:left="708"/>
        <w:jc w:val="both"/>
        <w:rPr>
          <w:rFonts w:ascii="Arial" w:hAnsi="Arial" w:cs="Arial"/>
        </w:rPr>
      </w:pPr>
      <w:r w:rsidRPr="005F44E8">
        <w:rPr>
          <w:rFonts w:ascii="Arial" w:hAnsi="Arial" w:cs="Arial"/>
        </w:rPr>
        <w:t>4. En caso de allanamiento de conformidad con el artículo 176 de la Ley 1437 de 2011.  </w:t>
      </w:r>
    </w:p>
    <w:p w14:paraId="7DB4D875" w14:textId="77777777" w:rsidR="000648EC" w:rsidRPr="005F44E8" w:rsidRDefault="000648EC" w:rsidP="000648EC">
      <w:pPr>
        <w:spacing w:line="276" w:lineRule="auto"/>
        <w:jc w:val="both"/>
        <w:rPr>
          <w:rFonts w:ascii="Arial" w:hAnsi="Arial" w:cs="Arial"/>
          <w:sz w:val="24"/>
          <w:szCs w:val="24"/>
        </w:rPr>
      </w:pPr>
    </w:p>
    <w:p w14:paraId="1DE0F099" w14:textId="77777777"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Finalmente, con la expedición de la Ley 2080 de 25 de enero de 2021, mediante la cual se reformó el CPACA, se incorporó esta figura con carácter permanente y un distinguible grado de autonomía, en los siguientes términos:</w:t>
      </w:r>
    </w:p>
    <w:p w14:paraId="597AED3B" w14:textId="77777777" w:rsidR="000648EC" w:rsidRPr="005F44E8" w:rsidRDefault="000648EC" w:rsidP="000648EC">
      <w:pPr>
        <w:spacing w:line="276" w:lineRule="auto"/>
        <w:jc w:val="both"/>
        <w:rPr>
          <w:rFonts w:ascii="Arial" w:hAnsi="Arial" w:cs="Arial"/>
          <w:sz w:val="24"/>
          <w:szCs w:val="24"/>
        </w:rPr>
      </w:pPr>
    </w:p>
    <w:p w14:paraId="5BEBCD7E" w14:textId="77777777" w:rsidR="000648EC" w:rsidRPr="005F44E8" w:rsidRDefault="000648EC" w:rsidP="000648EC">
      <w:pPr>
        <w:ind w:left="709"/>
        <w:jc w:val="both"/>
        <w:rPr>
          <w:rFonts w:ascii="Arial" w:hAnsi="Arial" w:cs="Arial"/>
        </w:rPr>
      </w:pPr>
      <w:r w:rsidRPr="005F44E8">
        <w:rPr>
          <w:rFonts w:ascii="Arial" w:hAnsi="Arial" w:cs="Arial"/>
          <w:b/>
          <w:bCs/>
        </w:rPr>
        <w:t>Artículo 42</w:t>
      </w:r>
      <w:r w:rsidRPr="005F44E8">
        <w:rPr>
          <w:rFonts w:ascii="Arial" w:hAnsi="Arial" w:cs="Arial"/>
        </w:rPr>
        <w:t xml:space="preserve">. Adiciónese a la Ley 1437 de 2011 el artículo 182A, el cual será del siguiente tenor: </w:t>
      </w:r>
    </w:p>
    <w:p w14:paraId="00374B8B" w14:textId="77777777" w:rsidR="000648EC" w:rsidRPr="005F44E8" w:rsidRDefault="000648EC" w:rsidP="000648EC">
      <w:pPr>
        <w:ind w:left="709"/>
        <w:jc w:val="both"/>
        <w:rPr>
          <w:rFonts w:ascii="Arial" w:hAnsi="Arial" w:cs="Arial"/>
        </w:rPr>
      </w:pPr>
    </w:p>
    <w:p w14:paraId="6459D522" w14:textId="77777777" w:rsidR="000648EC" w:rsidRPr="005F44E8" w:rsidRDefault="000648EC" w:rsidP="000648EC">
      <w:pPr>
        <w:ind w:left="709"/>
        <w:jc w:val="both"/>
        <w:rPr>
          <w:rFonts w:ascii="Arial" w:hAnsi="Arial" w:cs="Arial"/>
        </w:rPr>
      </w:pPr>
      <w:r w:rsidRPr="005F44E8">
        <w:rPr>
          <w:rFonts w:ascii="Arial" w:hAnsi="Arial" w:cs="Arial"/>
          <w:b/>
          <w:bCs/>
        </w:rPr>
        <w:t>Artículo 182A</w:t>
      </w:r>
      <w:r w:rsidRPr="005F44E8">
        <w:rPr>
          <w:rFonts w:ascii="Arial" w:hAnsi="Arial" w:cs="Arial"/>
        </w:rPr>
        <w:t xml:space="preserve">. Sentencia anticipada. Se podrá dictar sentencia anticipada: </w:t>
      </w:r>
    </w:p>
    <w:p w14:paraId="655257B0" w14:textId="77777777" w:rsidR="000648EC" w:rsidRPr="005F44E8" w:rsidRDefault="000648EC" w:rsidP="000648EC">
      <w:pPr>
        <w:ind w:left="709"/>
        <w:jc w:val="both"/>
        <w:rPr>
          <w:rFonts w:ascii="Arial" w:hAnsi="Arial" w:cs="Arial"/>
        </w:rPr>
      </w:pPr>
    </w:p>
    <w:p w14:paraId="22FAD71A" w14:textId="77777777" w:rsidR="000648EC" w:rsidRPr="005F44E8" w:rsidRDefault="000648EC" w:rsidP="000648EC">
      <w:pPr>
        <w:ind w:left="709"/>
        <w:jc w:val="both"/>
        <w:rPr>
          <w:rFonts w:ascii="Arial" w:hAnsi="Arial" w:cs="Arial"/>
        </w:rPr>
      </w:pPr>
      <w:r w:rsidRPr="005F44E8">
        <w:rPr>
          <w:rFonts w:ascii="Arial" w:hAnsi="Arial" w:cs="Arial"/>
          <w:b/>
          <w:bCs/>
        </w:rPr>
        <w:t>1</w:t>
      </w:r>
      <w:r w:rsidRPr="005F44E8">
        <w:rPr>
          <w:rFonts w:ascii="Arial" w:hAnsi="Arial" w:cs="Arial"/>
        </w:rPr>
        <w:t xml:space="preserve">. Antes de la audiencia inicial: </w:t>
      </w:r>
    </w:p>
    <w:p w14:paraId="0C1AC3F6" w14:textId="77777777" w:rsidR="000648EC" w:rsidRPr="005F44E8" w:rsidRDefault="000648EC" w:rsidP="000648EC">
      <w:pPr>
        <w:ind w:left="709"/>
        <w:jc w:val="both"/>
        <w:rPr>
          <w:rFonts w:ascii="Arial" w:hAnsi="Arial" w:cs="Arial"/>
        </w:rPr>
      </w:pPr>
    </w:p>
    <w:p w14:paraId="79DC5ABA" w14:textId="77777777" w:rsidR="000648EC" w:rsidRPr="005F44E8" w:rsidRDefault="000648EC" w:rsidP="000648EC">
      <w:pPr>
        <w:ind w:left="709"/>
        <w:jc w:val="both"/>
        <w:rPr>
          <w:rFonts w:ascii="Arial" w:hAnsi="Arial" w:cs="Arial"/>
        </w:rPr>
      </w:pPr>
      <w:r w:rsidRPr="005F44E8">
        <w:rPr>
          <w:rFonts w:ascii="Arial" w:hAnsi="Arial" w:cs="Arial"/>
        </w:rPr>
        <w:t xml:space="preserve">a) Cuando se trate de asuntos de puro derecho; </w:t>
      </w:r>
    </w:p>
    <w:p w14:paraId="159191C7" w14:textId="77777777" w:rsidR="000648EC" w:rsidRPr="005F44E8" w:rsidRDefault="000648EC" w:rsidP="000648EC">
      <w:pPr>
        <w:ind w:left="709"/>
        <w:jc w:val="both"/>
        <w:rPr>
          <w:rFonts w:ascii="Arial" w:hAnsi="Arial" w:cs="Arial"/>
        </w:rPr>
      </w:pPr>
    </w:p>
    <w:p w14:paraId="0C922AAE" w14:textId="77777777" w:rsidR="000648EC" w:rsidRPr="005F44E8" w:rsidRDefault="000648EC" w:rsidP="000648EC">
      <w:pPr>
        <w:ind w:left="709"/>
        <w:jc w:val="both"/>
        <w:rPr>
          <w:rFonts w:ascii="Arial" w:hAnsi="Arial" w:cs="Arial"/>
        </w:rPr>
      </w:pPr>
      <w:r w:rsidRPr="005F44E8">
        <w:rPr>
          <w:rFonts w:ascii="Arial" w:hAnsi="Arial" w:cs="Arial"/>
        </w:rPr>
        <w:t xml:space="preserve">b) Cuando no haya que practicar pruebas; </w:t>
      </w:r>
    </w:p>
    <w:p w14:paraId="5E7C0F34" w14:textId="77777777" w:rsidR="000648EC" w:rsidRPr="005F44E8" w:rsidRDefault="000648EC" w:rsidP="000648EC">
      <w:pPr>
        <w:ind w:left="709"/>
        <w:jc w:val="both"/>
        <w:rPr>
          <w:rFonts w:ascii="Arial" w:hAnsi="Arial" w:cs="Arial"/>
        </w:rPr>
      </w:pPr>
    </w:p>
    <w:p w14:paraId="58602E5B" w14:textId="77777777" w:rsidR="000648EC" w:rsidRPr="005F44E8" w:rsidRDefault="000648EC" w:rsidP="000648EC">
      <w:pPr>
        <w:ind w:left="709"/>
        <w:jc w:val="both"/>
        <w:rPr>
          <w:rFonts w:ascii="Arial" w:hAnsi="Arial" w:cs="Arial"/>
        </w:rPr>
      </w:pPr>
      <w:r w:rsidRPr="005F44E8">
        <w:rPr>
          <w:rFonts w:ascii="Arial" w:hAnsi="Arial" w:cs="Arial"/>
        </w:rPr>
        <w:t xml:space="preserve">c) Cuando solo se solicite tener como pruebas las documentales aportadas con la demanda y la contestación, y sobre ellas no se hubiese formulado tacha o desconocimiento; </w:t>
      </w:r>
    </w:p>
    <w:p w14:paraId="7CDF4B8C" w14:textId="77777777" w:rsidR="000648EC" w:rsidRPr="005F44E8" w:rsidRDefault="000648EC" w:rsidP="000648EC">
      <w:pPr>
        <w:ind w:left="709"/>
        <w:jc w:val="both"/>
        <w:rPr>
          <w:rFonts w:ascii="Arial" w:hAnsi="Arial" w:cs="Arial"/>
        </w:rPr>
      </w:pPr>
    </w:p>
    <w:p w14:paraId="1D6228AE" w14:textId="77777777" w:rsidR="000648EC" w:rsidRPr="005F44E8" w:rsidRDefault="000648EC" w:rsidP="000648EC">
      <w:pPr>
        <w:ind w:left="709"/>
        <w:jc w:val="both"/>
        <w:rPr>
          <w:rFonts w:ascii="Arial" w:hAnsi="Arial" w:cs="Arial"/>
        </w:rPr>
      </w:pPr>
      <w:r w:rsidRPr="005F44E8">
        <w:rPr>
          <w:rFonts w:ascii="Arial" w:hAnsi="Arial" w:cs="Arial"/>
        </w:rPr>
        <w:t xml:space="preserve">d) Cuando las pruebas solicitadas por las partes sean impertinentes, inconducentes o inútiles. </w:t>
      </w:r>
    </w:p>
    <w:p w14:paraId="59BF6790" w14:textId="77777777" w:rsidR="000648EC" w:rsidRPr="005F44E8" w:rsidRDefault="000648EC" w:rsidP="000648EC">
      <w:pPr>
        <w:ind w:left="709"/>
        <w:jc w:val="both"/>
        <w:rPr>
          <w:rFonts w:ascii="Arial" w:hAnsi="Arial" w:cs="Arial"/>
        </w:rPr>
      </w:pPr>
    </w:p>
    <w:p w14:paraId="1EF4DCAD" w14:textId="77777777" w:rsidR="000648EC" w:rsidRPr="005F44E8" w:rsidRDefault="000648EC" w:rsidP="000648EC">
      <w:pPr>
        <w:ind w:left="709"/>
        <w:jc w:val="both"/>
        <w:rPr>
          <w:rFonts w:ascii="Arial" w:hAnsi="Arial" w:cs="Arial"/>
        </w:rPr>
      </w:pPr>
      <w:r w:rsidRPr="005F44E8">
        <w:rPr>
          <w:rFonts w:ascii="Arial" w:hAnsi="Arial" w:cs="Arial"/>
        </w:rPr>
        <w:t>El juez o magistrado ponente, mediante auto, se pronunciará sobre las pruebas cuando a ello haya lugar, dando aplicación a lo dispuesto en el artículo 173 del Código General del Proceso y fijará el litigio u objeto de controversia.</w:t>
      </w:r>
    </w:p>
    <w:p w14:paraId="32C298C3" w14:textId="77777777" w:rsidR="000648EC" w:rsidRPr="005F44E8" w:rsidRDefault="000648EC" w:rsidP="000648EC">
      <w:pPr>
        <w:ind w:left="709"/>
        <w:jc w:val="both"/>
        <w:rPr>
          <w:rFonts w:ascii="Arial" w:hAnsi="Arial" w:cs="Arial"/>
        </w:rPr>
      </w:pPr>
    </w:p>
    <w:p w14:paraId="6E6B485B" w14:textId="77777777" w:rsidR="000648EC" w:rsidRPr="005F44E8" w:rsidRDefault="000648EC" w:rsidP="000648EC">
      <w:pPr>
        <w:ind w:left="709"/>
        <w:jc w:val="both"/>
        <w:rPr>
          <w:rFonts w:ascii="Arial" w:hAnsi="Arial" w:cs="Arial"/>
        </w:rPr>
      </w:pPr>
      <w:r w:rsidRPr="005F44E8">
        <w:rPr>
          <w:rFonts w:ascii="Arial" w:hAnsi="Arial" w:cs="Arial"/>
        </w:rPr>
        <w:lastRenderedPageBreak/>
        <w:t xml:space="preserve">Cumplido lo anterior, se correrá traslado para alegar en la forma prevista en el inciso final del artículo 181 de este código y la sentencia se expedirá por escrito. </w:t>
      </w:r>
    </w:p>
    <w:p w14:paraId="24C3AAE5" w14:textId="77777777" w:rsidR="000648EC" w:rsidRPr="005F44E8" w:rsidRDefault="000648EC" w:rsidP="000648EC">
      <w:pPr>
        <w:ind w:left="709"/>
        <w:jc w:val="both"/>
        <w:rPr>
          <w:rFonts w:ascii="Arial" w:hAnsi="Arial" w:cs="Arial"/>
        </w:rPr>
      </w:pPr>
    </w:p>
    <w:p w14:paraId="017FD2F6" w14:textId="77777777" w:rsidR="000648EC" w:rsidRPr="005F44E8" w:rsidRDefault="000648EC" w:rsidP="000648EC">
      <w:pPr>
        <w:ind w:left="709"/>
        <w:jc w:val="both"/>
        <w:rPr>
          <w:rFonts w:ascii="Arial" w:hAnsi="Arial" w:cs="Arial"/>
        </w:rPr>
      </w:pPr>
      <w:r w:rsidRPr="005F44E8">
        <w:rPr>
          <w:rFonts w:ascii="Arial" w:hAnsi="Arial" w:cs="Arial"/>
        </w:rPr>
        <w:t xml:space="preserve">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 </w:t>
      </w:r>
    </w:p>
    <w:p w14:paraId="1FCCCA96" w14:textId="77777777" w:rsidR="000648EC" w:rsidRPr="005F44E8" w:rsidRDefault="000648EC" w:rsidP="000648EC">
      <w:pPr>
        <w:ind w:left="709"/>
        <w:jc w:val="both"/>
        <w:rPr>
          <w:rFonts w:ascii="Arial" w:hAnsi="Arial" w:cs="Arial"/>
        </w:rPr>
      </w:pPr>
    </w:p>
    <w:p w14:paraId="0E849E35" w14:textId="77777777" w:rsidR="000648EC" w:rsidRPr="005F44E8" w:rsidRDefault="000648EC" w:rsidP="000648EC">
      <w:pPr>
        <w:ind w:left="709"/>
        <w:jc w:val="both"/>
        <w:rPr>
          <w:rFonts w:ascii="Arial" w:hAnsi="Arial" w:cs="Arial"/>
        </w:rPr>
      </w:pPr>
      <w:r w:rsidRPr="005F44E8">
        <w:rPr>
          <w:rFonts w:ascii="Arial" w:hAnsi="Arial" w:cs="Arial"/>
          <w:b/>
          <w:bCs/>
        </w:rPr>
        <w:t>2</w:t>
      </w:r>
      <w:r w:rsidRPr="005F44E8">
        <w:rPr>
          <w:rFonts w:ascii="Arial" w:hAnsi="Arial" w:cs="Arial"/>
        </w:rPr>
        <w:t xml:space="preserve">.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 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 </w:t>
      </w:r>
    </w:p>
    <w:p w14:paraId="10B621B3" w14:textId="77777777" w:rsidR="000648EC" w:rsidRPr="005F44E8" w:rsidRDefault="000648EC" w:rsidP="000648EC">
      <w:pPr>
        <w:ind w:left="709"/>
        <w:jc w:val="both"/>
        <w:rPr>
          <w:rFonts w:ascii="Arial" w:hAnsi="Arial" w:cs="Arial"/>
        </w:rPr>
      </w:pPr>
    </w:p>
    <w:p w14:paraId="363781F8" w14:textId="77777777" w:rsidR="000648EC" w:rsidRPr="005F44E8" w:rsidRDefault="000648EC" w:rsidP="000648EC">
      <w:pPr>
        <w:ind w:left="709"/>
        <w:jc w:val="both"/>
        <w:rPr>
          <w:rFonts w:ascii="Arial" w:hAnsi="Arial" w:cs="Arial"/>
        </w:rPr>
      </w:pPr>
      <w:r w:rsidRPr="005F44E8">
        <w:rPr>
          <w:rFonts w:ascii="Arial" w:hAnsi="Arial" w:cs="Arial"/>
          <w:b/>
          <w:bCs/>
        </w:rPr>
        <w:t>3</w:t>
      </w:r>
      <w:r w:rsidRPr="005F44E8">
        <w:rPr>
          <w:rFonts w:ascii="Arial" w:hAnsi="Arial" w:cs="Arial"/>
        </w:rPr>
        <w:t xml:space="preserve">. En cualquier estado del proceso, cuando el juzgador encuentre probada la cosa juzgada, la caducidad, la transacción, la conciliación, la falta manifiesta de legitimación en la causa y la prescripción extintiva. </w:t>
      </w:r>
    </w:p>
    <w:p w14:paraId="0A81D031" w14:textId="77777777" w:rsidR="000648EC" w:rsidRPr="005F44E8" w:rsidRDefault="000648EC" w:rsidP="000648EC">
      <w:pPr>
        <w:ind w:left="709"/>
        <w:jc w:val="both"/>
        <w:rPr>
          <w:rFonts w:ascii="Arial" w:hAnsi="Arial" w:cs="Arial"/>
        </w:rPr>
      </w:pPr>
    </w:p>
    <w:p w14:paraId="311C8F5D" w14:textId="77777777" w:rsidR="000648EC" w:rsidRPr="005F44E8" w:rsidRDefault="000648EC" w:rsidP="000648EC">
      <w:pPr>
        <w:ind w:left="709"/>
        <w:jc w:val="both"/>
        <w:rPr>
          <w:rFonts w:ascii="Arial" w:hAnsi="Arial" w:cs="Arial"/>
        </w:rPr>
      </w:pPr>
      <w:r w:rsidRPr="005F44E8">
        <w:rPr>
          <w:rFonts w:ascii="Arial" w:hAnsi="Arial" w:cs="Arial"/>
          <w:b/>
          <w:bCs/>
        </w:rPr>
        <w:t>4</w:t>
      </w:r>
      <w:r w:rsidRPr="005F44E8">
        <w:rPr>
          <w:rFonts w:ascii="Arial" w:hAnsi="Arial" w:cs="Arial"/>
        </w:rPr>
        <w:t xml:space="preserve">. En caso de allanamiento o transacción de conformidad con el artículo 176 de este código. </w:t>
      </w:r>
    </w:p>
    <w:p w14:paraId="2FB4B907" w14:textId="77777777" w:rsidR="000648EC" w:rsidRPr="005F44E8" w:rsidRDefault="000648EC" w:rsidP="000648EC">
      <w:pPr>
        <w:ind w:left="709"/>
        <w:jc w:val="both"/>
        <w:rPr>
          <w:rFonts w:ascii="Arial" w:hAnsi="Arial" w:cs="Arial"/>
        </w:rPr>
      </w:pPr>
    </w:p>
    <w:p w14:paraId="432B1E01" w14:textId="77777777" w:rsidR="000648EC" w:rsidRPr="005F44E8" w:rsidRDefault="000648EC" w:rsidP="000648EC">
      <w:pPr>
        <w:ind w:left="709"/>
        <w:jc w:val="both"/>
        <w:rPr>
          <w:rFonts w:ascii="Arial" w:hAnsi="Arial" w:cs="Arial"/>
        </w:rPr>
      </w:pPr>
      <w:r w:rsidRPr="005F44E8">
        <w:rPr>
          <w:rFonts w:ascii="Arial" w:hAnsi="Arial" w:cs="Arial"/>
        </w:rPr>
        <w:t>Parágrafo. En la providencia que corra traslado para alegar, se indicará la razón por la cual dictará sentencia anticipada. Si se trata de la causal del numeral 3 de este artículo, precisará sobre cuál o cuáles de las excepciones se pronunciará. Surtido el traslado mencionado se proferirá sentencia oral o escrita, según se considere. No obstante, escuchados los alegatos, se podrá reconsiderar la decisión de proferir sentencia anticipada. En este caso continuará el trámite del proceso.</w:t>
      </w:r>
    </w:p>
    <w:p w14:paraId="682AEBBF" w14:textId="77777777" w:rsidR="000648EC" w:rsidRPr="005F44E8" w:rsidRDefault="000648EC" w:rsidP="000648EC">
      <w:pPr>
        <w:spacing w:line="276" w:lineRule="auto"/>
        <w:jc w:val="both"/>
        <w:rPr>
          <w:rFonts w:ascii="Arial" w:hAnsi="Arial" w:cs="Arial"/>
          <w:sz w:val="24"/>
          <w:szCs w:val="24"/>
        </w:rPr>
      </w:pPr>
    </w:p>
    <w:p w14:paraId="021C39D4" w14:textId="77777777" w:rsidR="00BE54E9" w:rsidRPr="005F44E8" w:rsidRDefault="00BE54E9" w:rsidP="00BE54E9">
      <w:pPr>
        <w:spacing w:line="276" w:lineRule="auto"/>
        <w:jc w:val="both"/>
        <w:rPr>
          <w:rFonts w:ascii="Arial" w:hAnsi="Arial" w:cs="Arial"/>
          <w:sz w:val="24"/>
          <w:szCs w:val="24"/>
        </w:rPr>
      </w:pPr>
      <w:r w:rsidRPr="005F44E8">
        <w:rPr>
          <w:rFonts w:ascii="Arial" w:hAnsi="Arial" w:cs="Arial"/>
          <w:sz w:val="24"/>
          <w:szCs w:val="24"/>
        </w:rPr>
        <w:t>Con estos lineamientos, el operador judicial puede dar aplicación a la figura de la sentencia anticipada, siempre y cuando se configuren algunas de las hipótesis descritas en la norma citada y se expliquen las razones de su procedencia. En este sentido, el legislador dejó claro que, si bien con la adopción de dicho instituto procesal se procura por la pronta y efectiva administración de justicia, debe garantizarse, ante todo, el derecho al debido proceso de que son titulares los diferentes sujetos procesales. En tal sentido, el citado artículo 182A del CPACA ordena al magistrado ponente pronunciarse previamente sobre las pruebas, cuando a ello haya lugar, fijar el litigio u objeto de la controversia y correr traslado para alegar a las partes.</w:t>
      </w:r>
    </w:p>
    <w:p w14:paraId="709E4B9C" w14:textId="77777777" w:rsidR="000648EC" w:rsidRPr="005F44E8" w:rsidRDefault="000648EC" w:rsidP="000648EC">
      <w:pPr>
        <w:spacing w:line="276" w:lineRule="auto"/>
        <w:jc w:val="both"/>
        <w:rPr>
          <w:rFonts w:ascii="Arial" w:hAnsi="Arial" w:cs="Arial"/>
          <w:sz w:val="24"/>
          <w:szCs w:val="24"/>
        </w:rPr>
      </w:pPr>
      <w:r w:rsidRPr="005F44E8">
        <w:rPr>
          <w:rFonts w:ascii="Arial" w:hAnsi="Arial" w:cs="Arial"/>
          <w:sz w:val="24"/>
          <w:szCs w:val="24"/>
        </w:rPr>
        <w:t xml:space="preserve"> </w:t>
      </w:r>
    </w:p>
    <w:p w14:paraId="03C789A0" w14:textId="29662495" w:rsidR="000648EC" w:rsidRPr="005F44E8" w:rsidRDefault="000648EC" w:rsidP="000648EC">
      <w:pPr>
        <w:spacing w:line="276" w:lineRule="auto"/>
        <w:jc w:val="both"/>
        <w:rPr>
          <w:rFonts w:ascii="Arial" w:hAnsi="Arial" w:cs="Arial"/>
          <w:b/>
          <w:bCs/>
          <w:sz w:val="24"/>
          <w:szCs w:val="24"/>
        </w:rPr>
      </w:pPr>
      <w:r w:rsidRPr="005F44E8">
        <w:rPr>
          <w:rFonts w:ascii="Arial" w:hAnsi="Arial" w:cs="Arial"/>
          <w:b/>
          <w:bCs/>
          <w:sz w:val="24"/>
          <w:szCs w:val="24"/>
        </w:rPr>
        <w:t>2.3</w:t>
      </w:r>
      <w:r w:rsidR="000114C7" w:rsidRPr="005F44E8">
        <w:rPr>
          <w:rFonts w:ascii="Arial" w:hAnsi="Arial" w:cs="Arial"/>
          <w:b/>
          <w:bCs/>
          <w:sz w:val="24"/>
          <w:szCs w:val="24"/>
        </w:rPr>
        <w:t>.</w:t>
      </w:r>
      <w:r w:rsidRPr="005F44E8">
        <w:rPr>
          <w:rFonts w:ascii="Arial" w:hAnsi="Arial" w:cs="Arial"/>
          <w:b/>
          <w:bCs/>
          <w:sz w:val="24"/>
          <w:szCs w:val="24"/>
        </w:rPr>
        <w:t xml:space="preserve"> Determinación de la procedencia de la sentencia anticipada </w:t>
      </w:r>
      <w:r w:rsidR="00237D4E" w:rsidRPr="005F44E8">
        <w:rPr>
          <w:rFonts w:ascii="Arial" w:hAnsi="Arial" w:cs="Arial"/>
          <w:b/>
          <w:bCs/>
          <w:sz w:val="24"/>
          <w:szCs w:val="24"/>
        </w:rPr>
        <w:t>en</w:t>
      </w:r>
      <w:r w:rsidRPr="005F44E8">
        <w:rPr>
          <w:rFonts w:ascii="Arial" w:hAnsi="Arial" w:cs="Arial"/>
          <w:b/>
          <w:bCs/>
          <w:sz w:val="24"/>
          <w:szCs w:val="24"/>
        </w:rPr>
        <w:t xml:space="preserve"> el caso</w:t>
      </w:r>
      <w:r w:rsidR="00237D4E" w:rsidRPr="005F44E8">
        <w:rPr>
          <w:rFonts w:ascii="Arial" w:hAnsi="Arial" w:cs="Arial"/>
          <w:b/>
          <w:bCs/>
          <w:sz w:val="24"/>
          <w:szCs w:val="24"/>
        </w:rPr>
        <w:t xml:space="preserve"> concreto</w:t>
      </w:r>
      <w:r w:rsidRPr="005F44E8">
        <w:rPr>
          <w:rFonts w:ascii="Arial" w:hAnsi="Arial" w:cs="Arial"/>
          <w:b/>
          <w:bCs/>
          <w:sz w:val="24"/>
          <w:szCs w:val="24"/>
        </w:rPr>
        <w:t xml:space="preserve">. </w:t>
      </w:r>
    </w:p>
    <w:p w14:paraId="55C4CDA8" w14:textId="77777777" w:rsidR="00BE54E9" w:rsidRPr="005F44E8" w:rsidRDefault="00BE54E9" w:rsidP="000648EC">
      <w:pPr>
        <w:spacing w:line="276" w:lineRule="auto"/>
        <w:jc w:val="both"/>
        <w:rPr>
          <w:rFonts w:ascii="Arial" w:hAnsi="Arial" w:cs="Arial"/>
          <w:b/>
          <w:bCs/>
          <w:sz w:val="24"/>
          <w:szCs w:val="24"/>
        </w:rPr>
      </w:pPr>
    </w:p>
    <w:p w14:paraId="51F70B6E" w14:textId="7962517A" w:rsidR="00BE54E9" w:rsidRPr="005F44E8" w:rsidRDefault="00BE54E9" w:rsidP="00BE54E9">
      <w:pPr>
        <w:spacing w:line="276" w:lineRule="auto"/>
        <w:jc w:val="both"/>
        <w:rPr>
          <w:rFonts w:ascii="Arial" w:hAnsi="Arial" w:cs="Arial"/>
          <w:bCs/>
          <w:sz w:val="24"/>
          <w:szCs w:val="24"/>
        </w:rPr>
      </w:pPr>
      <w:r w:rsidRPr="005F44E8">
        <w:rPr>
          <w:rFonts w:ascii="Arial" w:hAnsi="Arial" w:cs="Arial"/>
          <w:bCs/>
          <w:sz w:val="24"/>
          <w:szCs w:val="24"/>
        </w:rPr>
        <w:t xml:space="preserve">De acuerdo con lo expuesto, el despacho determinará si se configuran los presupuestos de la sentencia anticipada en relación con las causales contempladas en los literales a) y c) del artículo 182A del CPACA, lo que supone emitir </w:t>
      </w:r>
      <w:r w:rsidRPr="005F44E8">
        <w:rPr>
          <w:rFonts w:ascii="Arial" w:hAnsi="Arial" w:cs="Arial"/>
          <w:bCs/>
          <w:sz w:val="24"/>
          <w:szCs w:val="24"/>
        </w:rPr>
        <w:lastRenderedPageBreak/>
        <w:t>pronunciamiento previo sobre las pruebas, fijar el litigio y conceder a las partes la oportunidad de presentar sus alegatos de conclusión. En consecuencia, se procederá a resolver estos aspectos en ese mismo orden.</w:t>
      </w:r>
    </w:p>
    <w:p w14:paraId="094EE669" w14:textId="77777777" w:rsidR="00BE54E9" w:rsidRPr="005F44E8" w:rsidRDefault="00BE54E9" w:rsidP="00237D4E">
      <w:pPr>
        <w:pStyle w:val="paragraph"/>
        <w:spacing w:before="0" w:beforeAutospacing="0" w:after="0" w:afterAutospacing="0"/>
        <w:jc w:val="both"/>
        <w:textAlignment w:val="baseline"/>
        <w:rPr>
          <w:rStyle w:val="normaltextrun"/>
          <w:rFonts w:ascii="Arial" w:hAnsi="Arial" w:cs="Arial"/>
          <w:b/>
          <w:bCs/>
          <w:lang w:val="es-CO"/>
        </w:rPr>
      </w:pPr>
    </w:p>
    <w:p w14:paraId="08790335" w14:textId="69118635" w:rsidR="00237D4E" w:rsidRPr="005F44E8" w:rsidRDefault="00237D4E" w:rsidP="00237D4E">
      <w:pPr>
        <w:pStyle w:val="paragraph"/>
        <w:spacing w:before="0" w:beforeAutospacing="0" w:after="0" w:afterAutospacing="0"/>
        <w:jc w:val="both"/>
        <w:textAlignment w:val="baseline"/>
        <w:rPr>
          <w:rFonts w:ascii="Segoe UI" w:hAnsi="Segoe UI" w:cs="Segoe UI"/>
          <w:sz w:val="18"/>
          <w:szCs w:val="18"/>
        </w:rPr>
      </w:pPr>
      <w:r w:rsidRPr="005F44E8">
        <w:rPr>
          <w:rStyle w:val="normaltextrun"/>
          <w:rFonts w:ascii="Arial" w:hAnsi="Arial" w:cs="Arial"/>
          <w:b/>
          <w:bCs/>
          <w:lang w:val="es-CO"/>
        </w:rPr>
        <w:t>2.3.1</w:t>
      </w:r>
      <w:r w:rsidR="000114C7" w:rsidRPr="005F44E8">
        <w:rPr>
          <w:rStyle w:val="normaltextrun"/>
          <w:rFonts w:ascii="Arial" w:hAnsi="Arial" w:cs="Arial"/>
          <w:b/>
          <w:bCs/>
          <w:lang w:val="es-CO"/>
        </w:rPr>
        <w:t>.</w:t>
      </w:r>
      <w:r w:rsidRPr="005F44E8">
        <w:rPr>
          <w:rStyle w:val="normaltextrun"/>
          <w:rFonts w:ascii="Arial" w:hAnsi="Arial" w:cs="Arial"/>
          <w:b/>
          <w:bCs/>
          <w:lang w:val="es-CO"/>
        </w:rPr>
        <w:t> Pronunciamiento sobre las pruebas allegadas. </w:t>
      </w:r>
      <w:r w:rsidRPr="005F44E8">
        <w:rPr>
          <w:rStyle w:val="eop"/>
          <w:rFonts w:ascii="Arial" w:eastAsia="Calibri" w:hAnsi="Arial" w:cs="Arial"/>
        </w:rPr>
        <w:t> </w:t>
      </w:r>
    </w:p>
    <w:p w14:paraId="257CAE18" w14:textId="77777777" w:rsidR="00237D4E" w:rsidRPr="005F44E8" w:rsidRDefault="00237D4E" w:rsidP="00237D4E">
      <w:pPr>
        <w:pStyle w:val="paragraph"/>
        <w:spacing w:before="0" w:beforeAutospacing="0" w:after="0" w:afterAutospacing="0"/>
        <w:jc w:val="both"/>
        <w:textAlignment w:val="baseline"/>
        <w:rPr>
          <w:rFonts w:ascii="Segoe UI" w:hAnsi="Segoe UI" w:cs="Segoe UI"/>
          <w:sz w:val="18"/>
          <w:szCs w:val="18"/>
        </w:rPr>
      </w:pPr>
      <w:r w:rsidRPr="005F44E8">
        <w:rPr>
          <w:rStyle w:val="eop"/>
          <w:rFonts w:ascii="Arial" w:eastAsia="Calibri" w:hAnsi="Arial" w:cs="Arial"/>
        </w:rPr>
        <w:t> </w:t>
      </w:r>
    </w:p>
    <w:p w14:paraId="3B2F9E25" w14:textId="60567E30" w:rsidR="00237D4E" w:rsidRPr="005F44E8" w:rsidRDefault="00237D4E" w:rsidP="00237D4E">
      <w:pPr>
        <w:pStyle w:val="paragraph"/>
        <w:spacing w:before="0" w:beforeAutospacing="0" w:after="0" w:afterAutospacing="0"/>
        <w:jc w:val="both"/>
        <w:textAlignment w:val="baseline"/>
        <w:rPr>
          <w:rStyle w:val="eop"/>
          <w:rFonts w:ascii="Arial" w:eastAsia="Calibri" w:hAnsi="Arial" w:cs="Arial"/>
        </w:rPr>
      </w:pPr>
      <w:r w:rsidRPr="005F44E8">
        <w:rPr>
          <w:rStyle w:val="normaltextrun"/>
          <w:rFonts w:ascii="Arial" w:hAnsi="Arial" w:cs="Arial"/>
          <w:b/>
          <w:bCs/>
          <w:lang w:val="es-CO"/>
        </w:rPr>
        <w:t>2.3.1.1</w:t>
      </w:r>
      <w:r w:rsidR="000114C7" w:rsidRPr="005F44E8">
        <w:rPr>
          <w:rStyle w:val="normaltextrun"/>
          <w:rFonts w:ascii="Arial" w:hAnsi="Arial" w:cs="Arial"/>
          <w:b/>
          <w:bCs/>
          <w:lang w:val="es-CO"/>
        </w:rPr>
        <w:t>.</w:t>
      </w:r>
      <w:r w:rsidRPr="005F44E8">
        <w:rPr>
          <w:rStyle w:val="normaltextrun"/>
          <w:rFonts w:ascii="Arial" w:hAnsi="Arial" w:cs="Arial"/>
          <w:b/>
          <w:bCs/>
          <w:lang w:val="es-CO"/>
        </w:rPr>
        <w:t> Parte actora. </w:t>
      </w:r>
      <w:r w:rsidRPr="005F44E8">
        <w:rPr>
          <w:rStyle w:val="eop"/>
          <w:rFonts w:ascii="Arial" w:eastAsia="Calibri" w:hAnsi="Arial" w:cs="Arial"/>
        </w:rPr>
        <w:t> </w:t>
      </w:r>
    </w:p>
    <w:p w14:paraId="7A8D4769" w14:textId="77777777" w:rsidR="00237D4E" w:rsidRPr="005F44E8" w:rsidRDefault="00237D4E" w:rsidP="00237D4E">
      <w:pPr>
        <w:pStyle w:val="paragraph"/>
        <w:spacing w:before="0" w:beforeAutospacing="0" w:after="0" w:afterAutospacing="0"/>
        <w:jc w:val="both"/>
        <w:textAlignment w:val="baseline"/>
        <w:rPr>
          <w:rFonts w:ascii="Segoe UI" w:hAnsi="Segoe UI" w:cs="Segoe UI"/>
          <w:sz w:val="18"/>
          <w:szCs w:val="18"/>
        </w:rPr>
      </w:pPr>
    </w:p>
    <w:p w14:paraId="772F2096" w14:textId="77777777" w:rsidR="00237D4E" w:rsidRPr="005F44E8" w:rsidRDefault="00237D4E" w:rsidP="00237D4E">
      <w:pPr>
        <w:spacing w:line="276" w:lineRule="auto"/>
        <w:jc w:val="both"/>
        <w:rPr>
          <w:rFonts w:ascii="Arial" w:hAnsi="Arial" w:cs="Arial"/>
          <w:sz w:val="24"/>
          <w:szCs w:val="24"/>
        </w:rPr>
      </w:pPr>
      <w:r w:rsidRPr="005F44E8">
        <w:rPr>
          <w:rFonts w:ascii="Arial" w:hAnsi="Arial" w:cs="Arial"/>
          <w:sz w:val="24"/>
          <w:szCs w:val="24"/>
        </w:rPr>
        <w:t>Con el valor legal que le corresponda, se tendrán como medios de prueba los siguientes:</w:t>
      </w:r>
    </w:p>
    <w:p w14:paraId="5D4DA982" w14:textId="5E7558BD" w:rsidR="000648EC" w:rsidRPr="005F44E8" w:rsidRDefault="000648EC" w:rsidP="000648EC">
      <w:pPr>
        <w:spacing w:line="276" w:lineRule="auto"/>
        <w:jc w:val="both"/>
        <w:rPr>
          <w:rFonts w:ascii="Arial" w:hAnsi="Arial" w:cs="Arial"/>
          <w:b/>
          <w:bCs/>
          <w:sz w:val="24"/>
          <w:szCs w:val="24"/>
        </w:rPr>
      </w:pPr>
    </w:p>
    <w:p w14:paraId="789609F7" w14:textId="5817C3C5" w:rsidR="00237D4E" w:rsidRPr="005F44E8" w:rsidRDefault="00237D4E" w:rsidP="0004402D">
      <w:pPr>
        <w:pStyle w:val="NormalWeb"/>
        <w:numPr>
          <w:ilvl w:val="0"/>
          <w:numId w:val="3"/>
        </w:numPr>
        <w:shd w:val="clear" w:color="auto" w:fill="FFFFFF"/>
        <w:spacing w:line="276" w:lineRule="auto"/>
        <w:jc w:val="both"/>
        <w:rPr>
          <w:rFonts w:ascii="Arial" w:hAnsi="Arial" w:cs="Arial"/>
          <w:color w:val="000000"/>
          <w:lang w:val="es-ES_tradnl"/>
        </w:rPr>
      </w:pPr>
      <w:r w:rsidRPr="005F44E8">
        <w:rPr>
          <w:rFonts w:ascii="Arial" w:hAnsi="Arial" w:cs="Arial"/>
          <w:color w:val="000000"/>
          <w:lang w:val="es-ES_tradnl"/>
        </w:rPr>
        <w:t xml:space="preserve">Acta </w:t>
      </w:r>
      <w:r w:rsidR="00256231" w:rsidRPr="005F44E8">
        <w:rPr>
          <w:rFonts w:ascii="Arial" w:hAnsi="Arial" w:cs="Arial"/>
          <w:color w:val="000000"/>
          <w:lang w:val="es-ES_tradnl"/>
        </w:rPr>
        <w:t xml:space="preserve">electoral </w:t>
      </w:r>
      <w:r w:rsidRPr="005F44E8">
        <w:rPr>
          <w:rFonts w:ascii="Arial" w:hAnsi="Arial" w:cs="Arial"/>
          <w:color w:val="000000"/>
          <w:lang w:val="es-ES_tradnl"/>
        </w:rPr>
        <w:t xml:space="preserve">No. 08 de 27 </w:t>
      </w:r>
      <w:r w:rsidR="00256231" w:rsidRPr="005F44E8">
        <w:rPr>
          <w:rFonts w:ascii="Arial" w:hAnsi="Arial" w:cs="Arial"/>
          <w:color w:val="000000"/>
          <w:lang w:val="es-ES_tradnl"/>
        </w:rPr>
        <w:t xml:space="preserve">de marzo </w:t>
      </w:r>
      <w:r w:rsidRPr="005F44E8">
        <w:rPr>
          <w:rFonts w:ascii="Arial" w:hAnsi="Arial" w:cs="Arial"/>
          <w:color w:val="000000"/>
          <w:lang w:val="es-ES_tradnl"/>
        </w:rPr>
        <w:t xml:space="preserve">de 2020, mediante la cual se declaró la elección </w:t>
      </w:r>
      <w:r w:rsidR="00256231" w:rsidRPr="005F44E8">
        <w:rPr>
          <w:rFonts w:ascii="Arial" w:hAnsi="Arial" w:cs="Arial"/>
          <w:lang w:val="es-ES_tradnl"/>
        </w:rPr>
        <w:t>de los señores</w:t>
      </w:r>
      <w:r w:rsidR="00256231" w:rsidRPr="005F44E8">
        <w:t xml:space="preserve"> </w:t>
      </w:r>
      <w:r w:rsidR="00256231" w:rsidRPr="005F44E8">
        <w:rPr>
          <w:rFonts w:ascii="Arial" w:hAnsi="Arial" w:cs="Arial"/>
          <w:lang w:val="es-ES_tradnl"/>
        </w:rPr>
        <w:t xml:space="preserve">Fidel Quinto Mosquera y Juan Diego Castrillón Orrego como representantes, principal y suplente, respectivamente, de </w:t>
      </w:r>
      <w:r w:rsidR="00256231" w:rsidRPr="005F44E8">
        <w:rPr>
          <w:rFonts w:ascii="Arial" w:hAnsi="Arial" w:cs="Arial"/>
          <w:bCs/>
          <w:lang w:val="es-ES" w:eastAsia="es-ES"/>
        </w:rPr>
        <w:t>los ex - Rectores ante el Consejo Superior de la Universidad del Pacífico</w:t>
      </w:r>
      <w:r w:rsidRPr="005F44E8">
        <w:rPr>
          <w:rFonts w:ascii="Arial" w:hAnsi="Arial" w:cs="Arial"/>
          <w:color w:val="000000"/>
          <w:lang w:val="es-ES_tradnl"/>
        </w:rPr>
        <w:t xml:space="preserve">, con </w:t>
      </w:r>
      <w:r w:rsidR="00256231" w:rsidRPr="005F44E8">
        <w:rPr>
          <w:rFonts w:ascii="Arial" w:hAnsi="Arial" w:cs="Arial"/>
          <w:color w:val="000000"/>
          <w:lang w:val="es-ES_tradnl"/>
        </w:rPr>
        <w:t>la</w:t>
      </w:r>
      <w:r w:rsidRPr="005F44E8">
        <w:rPr>
          <w:rFonts w:ascii="Arial" w:hAnsi="Arial" w:cs="Arial"/>
          <w:color w:val="000000"/>
          <w:lang w:val="es-ES_tradnl"/>
        </w:rPr>
        <w:t xml:space="preserve"> </w:t>
      </w:r>
      <w:r w:rsidR="00256231" w:rsidRPr="005F44E8">
        <w:rPr>
          <w:rFonts w:ascii="Arial" w:hAnsi="Arial" w:cs="Arial"/>
          <w:color w:val="000000"/>
          <w:lang w:val="es-ES_tradnl"/>
        </w:rPr>
        <w:t xml:space="preserve">respectiva constancia </w:t>
      </w:r>
      <w:r w:rsidRPr="005F44E8">
        <w:rPr>
          <w:rFonts w:ascii="Arial" w:hAnsi="Arial" w:cs="Arial"/>
          <w:color w:val="000000"/>
          <w:lang w:val="es-ES_tradnl"/>
        </w:rPr>
        <w:t>de publicación.</w:t>
      </w:r>
    </w:p>
    <w:p w14:paraId="2F0938AD" w14:textId="77777777" w:rsidR="00237D4E" w:rsidRPr="005F44E8" w:rsidRDefault="00237D4E" w:rsidP="00237D4E">
      <w:pPr>
        <w:pStyle w:val="NormalWeb"/>
        <w:shd w:val="clear" w:color="auto" w:fill="FFFFFF"/>
        <w:spacing w:line="276" w:lineRule="auto"/>
        <w:jc w:val="both"/>
        <w:rPr>
          <w:rFonts w:ascii="Arial" w:hAnsi="Arial" w:cs="Arial"/>
          <w:color w:val="000000"/>
          <w:sz w:val="21"/>
          <w:szCs w:val="21"/>
          <w:lang w:val="es-ES_tradnl"/>
        </w:rPr>
      </w:pPr>
    </w:p>
    <w:p w14:paraId="0FD006B7" w14:textId="6E26F6E4" w:rsidR="00237D4E" w:rsidRPr="005F44E8" w:rsidRDefault="00237D4E"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Acuerdo No. 075 de</w:t>
      </w:r>
      <w:r w:rsidR="00AA6631" w:rsidRPr="005F44E8">
        <w:rPr>
          <w:rFonts w:ascii="Arial" w:hAnsi="Arial" w:cs="Arial"/>
          <w:color w:val="000000"/>
          <w:lang w:val="es-ES_tradnl"/>
        </w:rPr>
        <w:t xml:space="preserve"> 11 de febrero de</w:t>
      </w:r>
      <w:r w:rsidRPr="005F44E8">
        <w:rPr>
          <w:rFonts w:ascii="Arial" w:hAnsi="Arial" w:cs="Arial"/>
          <w:color w:val="000000"/>
          <w:lang w:val="es-ES_tradnl"/>
        </w:rPr>
        <w:t xml:space="preserve"> 2020</w:t>
      </w:r>
      <w:r w:rsidR="00AA6631" w:rsidRPr="005F44E8">
        <w:rPr>
          <w:rFonts w:ascii="Arial" w:hAnsi="Arial" w:cs="Arial"/>
          <w:color w:val="000000"/>
          <w:lang w:val="es-ES_tradnl"/>
        </w:rPr>
        <w:t xml:space="preserve">, </w:t>
      </w:r>
      <w:r w:rsidR="00AA6631" w:rsidRPr="005F44E8">
        <w:rPr>
          <w:rFonts w:ascii="Arial" w:hAnsi="Arial" w:cs="Arial"/>
          <w:i/>
          <w:iCs/>
          <w:color w:val="000000"/>
          <w:lang w:val="es-ES_tradnl"/>
        </w:rPr>
        <w:t xml:space="preserve">“Por medio del cual se establece el cronograma electoral para las elecciones </w:t>
      </w:r>
      <w:proofErr w:type="spellStart"/>
      <w:r w:rsidR="00AA6631" w:rsidRPr="005F44E8">
        <w:rPr>
          <w:rFonts w:ascii="Arial" w:hAnsi="Arial" w:cs="Arial"/>
          <w:i/>
          <w:iCs/>
          <w:color w:val="000000"/>
          <w:lang w:val="es-ES_tradnl"/>
        </w:rPr>
        <w:t>estamentarias</w:t>
      </w:r>
      <w:proofErr w:type="spellEnd"/>
      <w:r w:rsidR="00AA6631" w:rsidRPr="005F44E8">
        <w:rPr>
          <w:rFonts w:ascii="Arial" w:hAnsi="Arial" w:cs="Arial"/>
          <w:i/>
          <w:iCs/>
          <w:color w:val="000000"/>
          <w:lang w:val="es-ES_tradnl"/>
        </w:rPr>
        <w:t xml:space="preserve"> de los representantes ante </w:t>
      </w:r>
      <w:r w:rsidR="00FD19A3" w:rsidRPr="005F44E8">
        <w:rPr>
          <w:rFonts w:ascii="Arial" w:hAnsi="Arial" w:cs="Arial"/>
          <w:i/>
          <w:iCs/>
          <w:color w:val="000000"/>
          <w:lang w:val="es-ES_tradnl"/>
        </w:rPr>
        <w:t>el</w:t>
      </w:r>
      <w:r w:rsidR="00AA6631" w:rsidRPr="005F44E8">
        <w:rPr>
          <w:rFonts w:ascii="Arial" w:hAnsi="Arial" w:cs="Arial"/>
          <w:i/>
          <w:iCs/>
          <w:color w:val="000000"/>
          <w:lang w:val="es-ES_tradnl"/>
        </w:rPr>
        <w:t xml:space="preserve"> Consejo Superior por el sector productivo,</w:t>
      </w:r>
      <w:r w:rsidR="00FD19A3" w:rsidRPr="005F44E8">
        <w:rPr>
          <w:rFonts w:ascii="Arial" w:hAnsi="Arial" w:cs="Arial"/>
          <w:bCs/>
          <w:i/>
          <w:iCs/>
          <w:lang w:val="es-ES" w:eastAsia="es-ES"/>
        </w:rPr>
        <w:t xml:space="preserve"> ex - rectores</w:t>
      </w:r>
      <w:r w:rsidR="00AA6631" w:rsidRPr="005F44E8">
        <w:rPr>
          <w:rFonts w:ascii="Arial" w:hAnsi="Arial" w:cs="Arial"/>
          <w:i/>
          <w:iCs/>
          <w:color w:val="000000"/>
          <w:lang w:val="es-ES_tradnl"/>
        </w:rPr>
        <w:t xml:space="preserve"> y directivas académicas de la Universidad del Pacífico”</w:t>
      </w:r>
      <w:r w:rsidR="00256231" w:rsidRPr="005F44E8">
        <w:rPr>
          <w:rFonts w:ascii="Arial" w:hAnsi="Arial" w:cs="Arial"/>
          <w:color w:val="000000"/>
          <w:lang w:val="es-ES_tradnl"/>
        </w:rPr>
        <w:t>.</w:t>
      </w:r>
    </w:p>
    <w:p w14:paraId="3A9E40FF" w14:textId="77777777" w:rsidR="00237D4E" w:rsidRPr="005F44E8" w:rsidRDefault="00237D4E" w:rsidP="00237D4E">
      <w:pPr>
        <w:pStyle w:val="NormalWeb"/>
        <w:shd w:val="clear" w:color="auto" w:fill="FFFFFF"/>
        <w:spacing w:line="276" w:lineRule="auto"/>
        <w:jc w:val="both"/>
        <w:rPr>
          <w:rFonts w:ascii="Arial" w:hAnsi="Arial" w:cs="Arial"/>
          <w:color w:val="000000"/>
          <w:sz w:val="21"/>
          <w:szCs w:val="21"/>
          <w:lang w:val="es-ES_tradnl"/>
        </w:rPr>
      </w:pPr>
    </w:p>
    <w:p w14:paraId="6430380C" w14:textId="4920875C" w:rsidR="00237D4E" w:rsidRPr="005F44E8" w:rsidRDefault="00237D4E"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 xml:space="preserve">Acuerdo No. 014 </w:t>
      </w:r>
      <w:r w:rsidR="00AF7AB2" w:rsidRPr="005F44E8">
        <w:rPr>
          <w:rFonts w:ascii="Arial" w:hAnsi="Arial" w:cs="Arial"/>
          <w:color w:val="000000"/>
          <w:lang w:val="es-ES_tradnl"/>
        </w:rPr>
        <w:t xml:space="preserve">de 27 de mayo </w:t>
      </w:r>
      <w:r w:rsidRPr="005F44E8">
        <w:rPr>
          <w:rFonts w:ascii="Arial" w:hAnsi="Arial" w:cs="Arial"/>
          <w:color w:val="000000"/>
          <w:lang w:val="es-ES_tradnl"/>
        </w:rPr>
        <w:t>de 2005</w:t>
      </w:r>
      <w:r w:rsidR="00FD19A3" w:rsidRPr="005F44E8">
        <w:rPr>
          <w:rFonts w:ascii="Arial" w:hAnsi="Arial" w:cs="Arial"/>
          <w:color w:val="000000"/>
          <w:lang w:val="es-ES_tradnl"/>
        </w:rPr>
        <w:t xml:space="preserve">, </w:t>
      </w:r>
      <w:r w:rsidR="00FD19A3" w:rsidRPr="005F44E8">
        <w:rPr>
          <w:rFonts w:ascii="Arial" w:hAnsi="Arial" w:cs="Arial"/>
          <w:i/>
          <w:iCs/>
          <w:color w:val="000000"/>
          <w:lang w:val="es-ES_tradnl"/>
        </w:rPr>
        <w:t>“Por el cual se refrendan los Estatutos y Reglamentos en la Universidad del Pacífico”.</w:t>
      </w:r>
    </w:p>
    <w:p w14:paraId="28E31427" w14:textId="77777777" w:rsidR="00237D4E" w:rsidRPr="005F44E8" w:rsidRDefault="00237D4E" w:rsidP="00237D4E">
      <w:pPr>
        <w:pStyle w:val="NormalWeb"/>
        <w:shd w:val="clear" w:color="auto" w:fill="FFFFFF"/>
        <w:spacing w:line="276" w:lineRule="auto"/>
        <w:jc w:val="both"/>
        <w:rPr>
          <w:rFonts w:ascii="Arial" w:hAnsi="Arial" w:cs="Arial"/>
          <w:color w:val="000000"/>
          <w:sz w:val="21"/>
          <w:szCs w:val="21"/>
          <w:lang w:val="es-ES_tradnl"/>
        </w:rPr>
      </w:pPr>
    </w:p>
    <w:p w14:paraId="2A1A79DA" w14:textId="5F6BE857" w:rsidR="00FD19A3" w:rsidRPr="005F44E8" w:rsidRDefault="00237D4E" w:rsidP="00FD19A3">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 xml:space="preserve">Acuerdo No. 070 de </w:t>
      </w:r>
      <w:r w:rsidR="00FD19A3" w:rsidRPr="005F44E8">
        <w:rPr>
          <w:rFonts w:ascii="Arial" w:hAnsi="Arial" w:cs="Arial"/>
          <w:color w:val="000000"/>
          <w:lang w:val="es-ES_tradnl"/>
        </w:rPr>
        <w:t xml:space="preserve">25 de noviembre de </w:t>
      </w:r>
      <w:r w:rsidRPr="005F44E8">
        <w:rPr>
          <w:rFonts w:ascii="Arial" w:hAnsi="Arial" w:cs="Arial"/>
          <w:color w:val="000000"/>
          <w:lang w:val="es-ES_tradnl"/>
        </w:rPr>
        <w:t>2019</w:t>
      </w:r>
      <w:r w:rsidR="00FD19A3" w:rsidRPr="005F44E8">
        <w:rPr>
          <w:rFonts w:ascii="Arial" w:hAnsi="Arial" w:cs="Arial"/>
          <w:color w:val="000000"/>
          <w:lang w:val="es-ES_tradnl"/>
        </w:rPr>
        <w:t>,</w:t>
      </w:r>
      <w:r w:rsidRPr="005F44E8">
        <w:rPr>
          <w:rFonts w:ascii="Arial" w:hAnsi="Arial" w:cs="Arial"/>
          <w:color w:val="000000"/>
          <w:lang w:val="es-ES_tradnl"/>
        </w:rPr>
        <w:t xml:space="preserve"> </w:t>
      </w:r>
      <w:r w:rsidR="00FD19A3" w:rsidRPr="005F44E8">
        <w:rPr>
          <w:rFonts w:ascii="Arial" w:hAnsi="Arial" w:cs="Arial"/>
          <w:i/>
          <w:iCs/>
          <w:color w:val="000000"/>
          <w:lang w:val="es-ES_tradnl"/>
        </w:rPr>
        <w:t>“Por medio del cual se expide el Reglamento Electoral de la Universidad del Pacífico”.</w:t>
      </w:r>
    </w:p>
    <w:p w14:paraId="635DFBE1" w14:textId="54C15CBD" w:rsidR="00237D4E" w:rsidRPr="005F44E8" w:rsidRDefault="00237D4E" w:rsidP="00FD19A3">
      <w:pPr>
        <w:pStyle w:val="western"/>
        <w:shd w:val="clear" w:color="auto" w:fill="FFFFFF"/>
        <w:spacing w:before="0" w:beforeAutospacing="0" w:after="0" w:afterAutospacing="0" w:line="276" w:lineRule="auto"/>
        <w:ind w:left="720"/>
        <w:jc w:val="both"/>
        <w:rPr>
          <w:rFonts w:ascii="Arial" w:hAnsi="Arial" w:cs="Arial"/>
          <w:color w:val="000000"/>
          <w:lang w:val="es-ES_tradnl"/>
        </w:rPr>
      </w:pPr>
    </w:p>
    <w:p w14:paraId="2794D602" w14:textId="4D532101" w:rsidR="00237D4E" w:rsidRPr="005F44E8" w:rsidRDefault="00FD19A3"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Acta de i</w:t>
      </w:r>
      <w:r w:rsidR="00237D4E" w:rsidRPr="005F44E8">
        <w:rPr>
          <w:rFonts w:ascii="Arial" w:hAnsi="Arial" w:cs="Arial"/>
          <w:color w:val="000000"/>
          <w:lang w:val="es-ES_tradnl"/>
        </w:rPr>
        <w:t xml:space="preserve">nscripción del señor </w:t>
      </w:r>
      <w:r w:rsidRPr="005F44E8">
        <w:rPr>
          <w:rFonts w:ascii="Arial" w:hAnsi="Arial" w:cs="Arial"/>
          <w:color w:val="000000"/>
          <w:lang w:val="es-ES_tradnl"/>
        </w:rPr>
        <w:t xml:space="preserve">Eduardo Antonio García Vega, </w:t>
      </w:r>
      <w:r w:rsidR="00AF7AB2" w:rsidRPr="005F44E8">
        <w:rPr>
          <w:rFonts w:ascii="Arial" w:hAnsi="Arial" w:cs="Arial"/>
          <w:color w:val="000000"/>
          <w:lang w:val="es-ES_tradnl"/>
        </w:rPr>
        <w:t xml:space="preserve">de fecha 2 de marzo de 2020, </w:t>
      </w:r>
      <w:r w:rsidRPr="005F44E8">
        <w:rPr>
          <w:rFonts w:ascii="Arial" w:hAnsi="Arial" w:cs="Arial"/>
          <w:color w:val="000000"/>
          <w:lang w:val="es-ES_tradnl"/>
        </w:rPr>
        <w:t xml:space="preserve">como aspirante para ser elegido representante de los </w:t>
      </w:r>
      <w:r w:rsidRPr="005F44E8">
        <w:rPr>
          <w:rFonts w:ascii="Arial" w:hAnsi="Arial" w:cs="Arial"/>
          <w:bCs/>
          <w:lang w:val="es-ES" w:eastAsia="es-ES"/>
        </w:rPr>
        <w:t>ex - Rectores ante el Consejo Superior de la Universidad del Pacífico</w:t>
      </w:r>
      <w:r w:rsidR="00237D4E" w:rsidRPr="005F44E8">
        <w:rPr>
          <w:rFonts w:ascii="Arial" w:hAnsi="Arial" w:cs="Arial"/>
          <w:color w:val="000000"/>
          <w:lang w:val="es-ES_tradnl"/>
        </w:rPr>
        <w:t>.</w:t>
      </w:r>
    </w:p>
    <w:p w14:paraId="133B70E0" w14:textId="77777777" w:rsidR="0072093D" w:rsidRPr="005F44E8" w:rsidRDefault="0072093D" w:rsidP="0072093D">
      <w:pPr>
        <w:pStyle w:val="Prrafodelista"/>
        <w:rPr>
          <w:rFonts w:ascii="Arial" w:hAnsi="Arial" w:cs="Arial"/>
          <w:color w:val="000000"/>
          <w:lang w:val="es-ES_tradnl"/>
        </w:rPr>
      </w:pPr>
    </w:p>
    <w:p w14:paraId="09260932" w14:textId="350FAF83" w:rsidR="0072093D" w:rsidRPr="005F44E8" w:rsidRDefault="0072093D"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Acta No. 5 de 5 de marzo de 2020 proferida por el Comité Electoral</w:t>
      </w:r>
      <w:r w:rsidRPr="005F44E8">
        <w:rPr>
          <w:rFonts w:ascii="Arial" w:hAnsi="Arial" w:cs="Arial"/>
          <w:bCs/>
          <w:lang w:val="es-ES" w:eastAsia="es-ES"/>
        </w:rPr>
        <w:t xml:space="preserve"> de la Universidad del Pacífico.</w:t>
      </w:r>
    </w:p>
    <w:p w14:paraId="13E2DA74"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659DFF0F" w14:textId="3DCAE28F" w:rsidR="00237D4E" w:rsidRPr="005F44E8" w:rsidRDefault="007775A8"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R</w:t>
      </w:r>
      <w:r w:rsidR="00237D4E" w:rsidRPr="005F44E8">
        <w:rPr>
          <w:rFonts w:ascii="Arial" w:hAnsi="Arial" w:cs="Arial"/>
          <w:color w:val="000000"/>
          <w:lang w:val="es-ES_tradnl"/>
        </w:rPr>
        <w:t xml:space="preserve">ecurso de apelación </w:t>
      </w:r>
      <w:r w:rsidR="00230F12" w:rsidRPr="005F44E8">
        <w:rPr>
          <w:rFonts w:ascii="Arial" w:hAnsi="Arial" w:cs="Arial"/>
          <w:color w:val="000000"/>
          <w:lang w:val="es-ES_tradnl"/>
        </w:rPr>
        <w:t>interpuesto</w:t>
      </w:r>
      <w:r w:rsidR="00237D4E" w:rsidRPr="005F44E8">
        <w:rPr>
          <w:rFonts w:ascii="Arial" w:hAnsi="Arial" w:cs="Arial"/>
          <w:color w:val="000000"/>
          <w:lang w:val="es-ES_tradnl"/>
        </w:rPr>
        <w:t xml:space="preserve"> por el </w:t>
      </w:r>
      <w:r w:rsidR="00230F12" w:rsidRPr="005F44E8">
        <w:rPr>
          <w:rFonts w:ascii="Arial" w:hAnsi="Arial" w:cs="Arial"/>
          <w:color w:val="000000"/>
          <w:lang w:val="es-ES_tradnl"/>
        </w:rPr>
        <w:t>demandante contra el acto de elección acusado</w:t>
      </w:r>
      <w:r w:rsidR="0072093D" w:rsidRPr="005F44E8">
        <w:rPr>
          <w:rFonts w:ascii="Arial" w:hAnsi="Arial" w:cs="Arial"/>
          <w:color w:val="000000"/>
          <w:lang w:val="es-ES_tradnl"/>
        </w:rPr>
        <w:t>, y solicitud dirigida al Comité Electoral</w:t>
      </w:r>
      <w:r w:rsidR="0072093D" w:rsidRPr="005F44E8">
        <w:rPr>
          <w:rFonts w:ascii="Arial" w:hAnsi="Arial" w:cs="Arial"/>
          <w:bCs/>
          <w:lang w:val="es-ES" w:eastAsia="es-ES"/>
        </w:rPr>
        <w:t xml:space="preserve"> de la Universidad del Pacífico, tendiente a que certificara la formulación de dicho recurso.</w:t>
      </w:r>
    </w:p>
    <w:p w14:paraId="794EC3B4"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5DB6C7C0" w14:textId="661EA38A" w:rsidR="00237D4E" w:rsidRPr="005F44E8" w:rsidRDefault="007775A8"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A</w:t>
      </w:r>
      <w:r w:rsidR="00237D4E" w:rsidRPr="005F44E8">
        <w:rPr>
          <w:rFonts w:ascii="Arial" w:hAnsi="Arial" w:cs="Arial"/>
          <w:color w:val="000000"/>
          <w:lang w:val="es-ES_tradnl"/>
        </w:rPr>
        <w:t>cta aclaratoria de</w:t>
      </w:r>
      <w:r w:rsidR="00230F12" w:rsidRPr="005F44E8">
        <w:rPr>
          <w:rFonts w:ascii="Arial" w:hAnsi="Arial" w:cs="Arial"/>
          <w:color w:val="000000"/>
          <w:lang w:val="es-ES_tradnl"/>
        </w:rPr>
        <w:t>l Acta de cierre</w:t>
      </w:r>
      <w:r w:rsidR="00237D4E" w:rsidRPr="005F44E8">
        <w:rPr>
          <w:rFonts w:ascii="Arial" w:hAnsi="Arial" w:cs="Arial"/>
          <w:color w:val="000000"/>
          <w:lang w:val="es-ES_tradnl"/>
        </w:rPr>
        <w:t xml:space="preserve"> de inscripción</w:t>
      </w:r>
      <w:r w:rsidR="00230F12" w:rsidRPr="005F44E8">
        <w:rPr>
          <w:rFonts w:ascii="Arial" w:hAnsi="Arial" w:cs="Arial"/>
          <w:color w:val="000000"/>
          <w:lang w:val="es-ES_tradnl"/>
        </w:rPr>
        <w:t xml:space="preserve"> de candidatos para ser representante de los </w:t>
      </w:r>
      <w:r w:rsidR="00230F12" w:rsidRPr="005F44E8">
        <w:rPr>
          <w:rFonts w:ascii="Arial" w:hAnsi="Arial" w:cs="Arial"/>
          <w:bCs/>
          <w:lang w:val="es-ES" w:eastAsia="es-ES"/>
        </w:rPr>
        <w:t>ex - Rectores ante el Consejo Superior de la Universidad del Pacífico</w:t>
      </w:r>
      <w:r w:rsidR="00237D4E" w:rsidRPr="005F44E8">
        <w:rPr>
          <w:rFonts w:ascii="Arial" w:hAnsi="Arial" w:cs="Arial"/>
          <w:color w:val="000000"/>
          <w:lang w:val="es-ES_tradnl"/>
        </w:rPr>
        <w:t>.</w:t>
      </w:r>
    </w:p>
    <w:p w14:paraId="4819F83A"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27549CFE" w14:textId="29262571" w:rsidR="00237D4E" w:rsidRPr="005F44E8" w:rsidRDefault="007775A8"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Q</w:t>
      </w:r>
      <w:r w:rsidR="00237D4E" w:rsidRPr="005F44E8">
        <w:rPr>
          <w:rFonts w:ascii="Arial" w:hAnsi="Arial" w:cs="Arial"/>
          <w:color w:val="000000"/>
          <w:lang w:val="es-ES_tradnl"/>
        </w:rPr>
        <w:t xml:space="preserve">ueja </w:t>
      </w:r>
      <w:r w:rsidR="00230F12" w:rsidRPr="005F44E8">
        <w:rPr>
          <w:rFonts w:ascii="Arial" w:hAnsi="Arial" w:cs="Arial"/>
          <w:color w:val="000000"/>
          <w:lang w:val="es-ES_tradnl"/>
        </w:rPr>
        <w:t>presentada</w:t>
      </w:r>
      <w:r w:rsidR="00237D4E" w:rsidRPr="005F44E8">
        <w:rPr>
          <w:rFonts w:ascii="Arial" w:hAnsi="Arial" w:cs="Arial"/>
          <w:color w:val="000000"/>
          <w:lang w:val="es-ES_tradnl"/>
        </w:rPr>
        <w:t xml:space="preserve"> por el señor </w:t>
      </w:r>
      <w:r w:rsidR="00230F12" w:rsidRPr="005F44E8">
        <w:rPr>
          <w:rFonts w:ascii="Arial" w:hAnsi="Arial" w:cs="Arial"/>
          <w:color w:val="000000"/>
          <w:lang w:val="es-ES_tradnl"/>
        </w:rPr>
        <w:t xml:space="preserve">Eduardo Antonio García Vega ante el </w:t>
      </w:r>
      <w:r w:rsidR="00230F12" w:rsidRPr="005F44E8">
        <w:rPr>
          <w:rFonts w:ascii="Arial" w:hAnsi="Arial" w:cs="Arial"/>
          <w:bCs/>
          <w:lang w:val="es-ES" w:eastAsia="es-ES"/>
        </w:rPr>
        <w:t xml:space="preserve">Consejo Superior de la Universidad del Pacífico, por la falta de respuesta al recurso de apelación </w:t>
      </w:r>
      <w:r w:rsidR="00AF7AB2" w:rsidRPr="005F44E8">
        <w:rPr>
          <w:rFonts w:ascii="Arial" w:hAnsi="Arial" w:cs="Arial"/>
          <w:bCs/>
          <w:lang w:val="es-ES" w:eastAsia="es-ES"/>
        </w:rPr>
        <w:t>formulado</w:t>
      </w:r>
      <w:r w:rsidR="00230F12" w:rsidRPr="005F44E8">
        <w:rPr>
          <w:rFonts w:ascii="Arial" w:hAnsi="Arial" w:cs="Arial"/>
          <w:bCs/>
          <w:lang w:val="es-ES" w:eastAsia="es-ES"/>
        </w:rPr>
        <w:t xml:space="preserve"> contra el acto de elección demandado</w:t>
      </w:r>
      <w:r w:rsidR="00230F12" w:rsidRPr="005F44E8">
        <w:rPr>
          <w:rFonts w:ascii="Arial" w:hAnsi="Arial" w:cs="Arial"/>
          <w:color w:val="000000"/>
          <w:lang w:val="es-ES_tradnl"/>
        </w:rPr>
        <w:t>.</w:t>
      </w:r>
    </w:p>
    <w:p w14:paraId="74178088"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44AACD74" w14:textId="3C85CBF2" w:rsidR="00237D4E" w:rsidRPr="005F44E8" w:rsidRDefault="00237D4E"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 xml:space="preserve">Certificación expedida </w:t>
      </w:r>
      <w:r w:rsidR="00230F12" w:rsidRPr="005F44E8">
        <w:rPr>
          <w:rFonts w:ascii="Arial" w:hAnsi="Arial" w:cs="Arial"/>
          <w:color w:val="000000"/>
          <w:lang w:val="es-ES_tradnl"/>
        </w:rPr>
        <w:t>el 27 de abril de 2020</w:t>
      </w:r>
      <w:r w:rsidR="00F51F52" w:rsidRPr="005F44E8">
        <w:rPr>
          <w:rFonts w:ascii="Arial" w:hAnsi="Arial" w:cs="Arial"/>
          <w:color w:val="000000"/>
          <w:lang w:val="es-ES_tradnl"/>
        </w:rPr>
        <w:t>,</w:t>
      </w:r>
      <w:r w:rsidR="00230F12" w:rsidRPr="005F44E8">
        <w:rPr>
          <w:rFonts w:ascii="Arial" w:hAnsi="Arial" w:cs="Arial"/>
          <w:color w:val="000000"/>
          <w:lang w:val="es-ES_tradnl"/>
        </w:rPr>
        <w:t xml:space="preserve"> </w:t>
      </w:r>
      <w:r w:rsidRPr="005F44E8">
        <w:rPr>
          <w:rFonts w:ascii="Arial" w:hAnsi="Arial" w:cs="Arial"/>
          <w:color w:val="000000"/>
          <w:lang w:val="es-ES_tradnl"/>
        </w:rPr>
        <w:t xml:space="preserve">por el </w:t>
      </w:r>
      <w:r w:rsidR="00230F12" w:rsidRPr="005F44E8">
        <w:rPr>
          <w:rFonts w:ascii="Arial" w:hAnsi="Arial" w:cs="Arial"/>
          <w:color w:val="000000"/>
          <w:lang w:val="es-ES_tradnl"/>
        </w:rPr>
        <w:t>R</w:t>
      </w:r>
      <w:r w:rsidRPr="005F44E8">
        <w:rPr>
          <w:rFonts w:ascii="Arial" w:hAnsi="Arial" w:cs="Arial"/>
          <w:color w:val="000000"/>
          <w:lang w:val="es-ES_tradnl"/>
        </w:rPr>
        <w:t xml:space="preserve">ector </w:t>
      </w:r>
      <w:r w:rsidR="0072093D" w:rsidRPr="005F44E8">
        <w:rPr>
          <w:rFonts w:ascii="Arial" w:hAnsi="Arial" w:cs="Arial"/>
          <w:color w:val="000000"/>
          <w:lang w:val="es-ES_tradnl"/>
        </w:rPr>
        <w:t xml:space="preserve">(E) </w:t>
      </w:r>
      <w:r w:rsidRPr="005F44E8">
        <w:rPr>
          <w:rFonts w:ascii="Arial" w:hAnsi="Arial" w:cs="Arial"/>
          <w:color w:val="000000"/>
          <w:lang w:val="es-ES_tradnl"/>
        </w:rPr>
        <w:t xml:space="preserve">de la Universidad del </w:t>
      </w:r>
      <w:r w:rsidR="00F51F52" w:rsidRPr="005F44E8">
        <w:rPr>
          <w:rFonts w:ascii="Arial" w:hAnsi="Arial" w:cs="Arial"/>
          <w:color w:val="000000"/>
          <w:lang w:val="es-ES_tradnl"/>
        </w:rPr>
        <w:t>P</w:t>
      </w:r>
      <w:r w:rsidRPr="005F44E8">
        <w:rPr>
          <w:rFonts w:ascii="Arial" w:hAnsi="Arial" w:cs="Arial"/>
          <w:color w:val="000000"/>
          <w:lang w:val="es-ES_tradnl"/>
        </w:rPr>
        <w:t>ac</w:t>
      </w:r>
      <w:r w:rsidR="00230F12" w:rsidRPr="005F44E8">
        <w:rPr>
          <w:rFonts w:ascii="Arial" w:hAnsi="Arial" w:cs="Arial"/>
          <w:color w:val="000000"/>
          <w:lang w:val="es-ES_tradnl"/>
        </w:rPr>
        <w:t>í</w:t>
      </w:r>
      <w:r w:rsidRPr="005F44E8">
        <w:rPr>
          <w:rFonts w:ascii="Arial" w:hAnsi="Arial" w:cs="Arial"/>
          <w:color w:val="000000"/>
          <w:lang w:val="es-ES_tradnl"/>
        </w:rPr>
        <w:t>fico.</w:t>
      </w:r>
    </w:p>
    <w:p w14:paraId="6798B248"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67FC5782" w14:textId="18D318DD" w:rsidR="00237D4E" w:rsidRPr="005F44E8" w:rsidRDefault="00F51F52"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A</w:t>
      </w:r>
      <w:r w:rsidR="00237D4E" w:rsidRPr="005F44E8">
        <w:rPr>
          <w:rFonts w:ascii="Arial" w:hAnsi="Arial" w:cs="Arial"/>
          <w:color w:val="000000"/>
          <w:lang w:val="es-ES_tradnl"/>
        </w:rPr>
        <w:t xml:space="preserve">cta de posesión </w:t>
      </w:r>
      <w:r w:rsidRPr="005F44E8">
        <w:rPr>
          <w:rFonts w:ascii="Arial" w:hAnsi="Arial" w:cs="Arial"/>
          <w:color w:val="000000"/>
          <w:lang w:val="es-ES_tradnl"/>
        </w:rPr>
        <w:t xml:space="preserve">No. 002 de 28 de abril de 2020, </w:t>
      </w:r>
      <w:r w:rsidR="00237D4E" w:rsidRPr="005F44E8">
        <w:rPr>
          <w:rFonts w:ascii="Arial" w:hAnsi="Arial" w:cs="Arial"/>
          <w:color w:val="000000"/>
          <w:lang w:val="es-ES_tradnl"/>
        </w:rPr>
        <w:t xml:space="preserve">del señor </w:t>
      </w:r>
      <w:r w:rsidRPr="005F44E8">
        <w:rPr>
          <w:rFonts w:ascii="Arial" w:hAnsi="Arial" w:cs="Arial"/>
          <w:color w:val="000000"/>
          <w:lang w:val="es-ES_tradnl"/>
        </w:rPr>
        <w:t xml:space="preserve">Fidel Quinto Mosquera como representante de los </w:t>
      </w:r>
      <w:r w:rsidRPr="005F44E8">
        <w:rPr>
          <w:rFonts w:ascii="Arial" w:hAnsi="Arial" w:cs="Arial"/>
          <w:bCs/>
          <w:lang w:val="es-ES" w:eastAsia="es-ES"/>
        </w:rPr>
        <w:t>ex - Rectores ante el Consejo Superior de la Universidad del Pacífico</w:t>
      </w:r>
      <w:r w:rsidR="00237D4E" w:rsidRPr="005F44E8">
        <w:rPr>
          <w:rFonts w:ascii="Arial" w:hAnsi="Arial" w:cs="Arial"/>
          <w:color w:val="000000"/>
          <w:lang w:val="es-ES_tradnl"/>
        </w:rPr>
        <w:t>.</w:t>
      </w:r>
    </w:p>
    <w:p w14:paraId="56B610E2"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21B29534" w14:textId="53A7C5E9" w:rsidR="00237D4E" w:rsidRPr="005F44E8" w:rsidRDefault="00237D4E" w:rsidP="0004402D">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 xml:space="preserve">Acta </w:t>
      </w:r>
      <w:r w:rsidR="00F51F52" w:rsidRPr="005F44E8">
        <w:rPr>
          <w:rFonts w:ascii="Arial" w:hAnsi="Arial" w:cs="Arial"/>
          <w:color w:val="000000"/>
          <w:lang w:val="es-ES_tradnl"/>
        </w:rPr>
        <w:t xml:space="preserve">de </w:t>
      </w:r>
      <w:r w:rsidRPr="005F44E8">
        <w:rPr>
          <w:rFonts w:ascii="Arial" w:hAnsi="Arial" w:cs="Arial"/>
          <w:color w:val="000000"/>
          <w:lang w:val="es-ES_tradnl"/>
        </w:rPr>
        <w:t xml:space="preserve">Asamblea </w:t>
      </w:r>
      <w:r w:rsidR="00F51F52" w:rsidRPr="005F44E8">
        <w:rPr>
          <w:rFonts w:ascii="Arial" w:hAnsi="Arial" w:cs="Arial"/>
          <w:color w:val="000000"/>
          <w:lang w:val="es-ES_tradnl"/>
        </w:rPr>
        <w:t>de E</w:t>
      </w:r>
      <w:r w:rsidR="00F51F52" w:rsidRPr="005F44E8">
        <w:rPr>
          <w:rFonts w:ascii="Arial" w:hAnsi="Arial" w:cs="Arial"/>
          <w:bCs/>
          <w:lang w:val="es-ES" w:eastAsia="es-ES"/>
        </w:rPr>
        <w:t>x – Rectores</w:t>
      </w:r>
      <w:r w:rsidR="00F51F52" w:rsidRPr="005F44E8">
        <w:rPr>
          <w:rFonts w:ascii="Arial" w:hAnsi="Arial" w:cs="Arial"/>
          <w:color w:val="000000"/>
          <w:lang w:val="es-ES_tradnl"/>
        </w:rPr>
        <w:t xml:space="preserve"> </w:t>
      </w:r>
      <w:r w:rsidR="00F51F52" w:rsidRPr="005F44E8">
        <w:rPr>
          <w:rFonts w:ascii="Arial" w:hAnsi="Arial" w:cs="Arial"/>
          <w:bCs/>
          <w:lang w:val="es-ES" w:eastAsia="es-ES"/>
        </w:rPr>
        <w:t>No. 001 de 24 de marzo de 2020</w:t>
      </w:r>
      <w:r w:rsidRPr="005F44E8">
        <w:rPr>
          <w:rFonts w:ascii="Arial" w:hAnsi="Arial" w:cs="Arial"/>
          <w:color w:val="000000"/>
          <w:lang w:val="es-ES_tradnl"/>
        </w:rPr>
        <w:t>.</w:t>
      </w:r>
    </w:p>
    <w:p w14:paraId="1BF5429B" w14:textId="77777777" w:rsidR="000B20C1" w:rsidRPr="005F44E8" w:rsidRDefault="000B20C1" w:rsidP="000B20C1">
      <w:pPr>
        <w:pStyle w:val="Prrafodelista"/>
        <w:rPr>
          <w:rFonts w:ascii="Arial" w:hAnsi="Arial" w:cs="Arial"/>
          <w:color w:val="000000"/>
          <w:lang w:val="es-ES_tradnl"/>
        </w:rPr>
      </w:pPr>
    </w:p>
    <w:p w14:paraId="592ECE87" w14:textId="1814B043" w:rsidR="00F51F52" w:rsidRPr="005F44E8" w:rsidRDefault="007775A8" w:rsidP="00F51F52">
      <w:pPr>
        <w:pStyle w:val="western"/>
        <w:numPr>
          <w:ilvl w:val="0"/>
          <w:numId w:val="3"/>
        </w:numPr>
        <w:shd w:val="clear" w:color="auto" w:fill="FFFFFF"/>
        <w:spacing w:before="0" w:beforeAutospacing="0" w:after="0" w:afterAutospacing="0" w:line="276" w:lineRule="auto"/>
        <w:jc w:val="both"/>
        <w:rPr>
          <w:rFonts w:ascii="Arial" w:hAnsi="Arial" w:cs="Arial"/>
          <w:color w:val="000000"/>
          <w:lang w:val="es-ES_tradnl"/>
        </w:rPr>
      </w:pPr>
      <w:r w:rsidRPr="005F44E8">
        <w:rPr>
          <w:rFonts w:ascii="Arial" w:hAnsi="Arial" w:cs="Arial"/>
          <w:color w:val="000000"/>
          <w:lang w:val="es-ES_tradnl"/>
        </w:rPr>
        <w:t>S</w:t>
      </w:r>
      <w:r w:rsidR="00237D4E" w:rsidRPr="005F44E8">
        <w:rPr>
          <w:rFonts w:ascii="Arial" w:hAnsi="Arial" w:cs="Arial"/>
          <w:color w:val="000000"/>
          <w:lang w:val="es-ES_tradnl"/>
        </w:rPr>
        <w:t>olicitud</w:t>
      </w:r>
      <w:r w:rsidR="0072093D" w:rsidRPr="005F44E8">
        <w:rPr>
          <w:rFonts w:ascii="Arial" w:hAnsi="Arial" w:cs="Arial"/>
          <w:color w:val="000000"/>
          <w:lang w:val="es-ES_tradnl"/>
        </w:rPr>
        <w:t>es</w:t>
      </w:r>
      <w:r w:rsidR="00237D4E" w:rsidRPr="005F44E8">
        <w:rPr>
          <w:rFonts w:ascii="Arial" w:hAnsi="Arial" w:cs="Arial"/>
          <w:color w:val="000000"/>
          <w:lang w:val="es-ES_tradnl"/>
        </w:rPr>
        <w:t xml:space="preserve"> realizada</w:t>
      </w:r>
      <w:r w:rsidR="0072093D" w:rsidRPr="005F44E8">
        <w:rPr>
          <w:rFonts w:ascii="Arial" w:hAnsi="Arial" w:cs="Arial"/>
          <w:color w:val="000000"/>
          <w:lang w:val="es-ES_tradnl"/>
        </w:rPr>
        <w:t>s</w:t>
      </w:r>
      <w:r w:rsidR="00237D4E" w:rsidRPr="005F44E8">
        <w:rPr>
          <w:rFonts w:ascii="Arial" w:hAnsi="Arial" w:cs="Arial"/>
          <w:color w:val="000000"/>
          <w:lang w:val="es-ES_tradnl"/>
        </w:rPr>
        <w:t xml:space="preserve"> por el </w:t>
      </w:r>
      <w:r w:rsidR="00F51F52" w:rsidRPr="005F44E8">
        <w:rPr>
          <w:rFonts w:ascii="Arial" w:hAnsi="Arial" w:cs="Arial"/>
          <w:color w:val="000000"/>
          <w:lang w:val="es-ES_tradnl"/>
        </w:rPr>
        <w:t>señor</w:t>
      </w:r>
      <w:r w:rsidR="00237D4E" w:rsidRPr="005F44E8">
        <w:rPr>
          <w:rFonts w:ascii="Arial" w:hAnsi="Arial" w:cs="Arial"/>
          <w:color w:val="000000"/>
          <w:lang w:val="es-ES_tradnl"/>
        </w:rPr>
        <w:t xml:space="preserve"> </w:t>
      </w:r>
      <w:r w:rsidR="00F51F52" w:rsidRPr="005F44E8">
        <w:rPr>
          <w:rFonts w:ascii="Arial" w:hAnsi="Arial" w:cs="Arial"/>
          <w:color w:val="000000"/>
          <w:lang w:val="es-ES_tradnl"/>
        </w:rPr>
        <w:t xml:space="preserve">Anderson Arroyo </w:t>
      </w:r>
      <w:proofErr w:type="spellStart"/>
      <w:r w:rsidR="00F51F52" w:rsidRPr="005F44E8">
        <w:rPr>
          <w:rFonts w:ascii="Arial" w:hAnsi="Arial" w:cs="Arial"/>
          <w:color w:val="000000"/>
          <w:lang w:val="es-ES_tradnl"/>
        </w:rPr>
        <w:t>Arroyo</w:t>
      </w:r>
      <w:proofErr w:type="spellEnd"/>
      <w:r w:rsidR="000B20C1" w:rsidRPr="005F44E8">
        <w:rPr>
          <w:rFonts w:ascii="Arial" w:hAnsi="Arial" w:cs="Arial"/>
          <w:color w:val="000000"/>
          <w:lang w:val="es-ES_tradnl"/>
        </w:rPr>
        <w:t>,</w:t>
      </w:r>
      <w:r w:rsidR="00F51F52" w:rsidRPr="005F44E8">
        <w:rPr>
          <w:rFonts w:ascii="Arial" w:hAnsi="Arial" w:cs="Arial"/>
          <w:color w:val="000000"/>
          <w:lang w:val="es-ES_tradnl"/>
        </w:rPr>
        <w:t xml:space="preserve"> en su calidad de </w:t>
      </w:r>
      <w:r w:rsidR="00F51F52" w:rsidRPr="005F44E8">
        <w:rPr>
          <w:rFonts w:ascii="Arial" w:hAnsi="Arial" w:cs="Arial"/>
          <w:i/>
          <w:iCs/>
          <w:color w:val="000000"/>
          <w:lang w:val="es-ES_tradnl"/>
        </w:rPr>
        <w:t>“</w:t>
      </w:r>
      <w:r w:rsidR="00F51F52" w:rsidRPr="005F44E8">
        <w:rPr>
          <w:rFonts w:ascii="Arial" w:hAnsi="Arial" w:cs="Arial"/>
          <w:i/>
          <w:iCs/>
        </w:rPr>
        <w:t>CONSEJERO SUPERIOR UNIPACIFICO EGRESADOS”</w:t>
      </w:r>
      <w:r w:rsidR="000B20C1" w:rsidRPr="005F44E8">
        <w:rPr>
          <w:rFonts w:ascii="Arial" w:hAnsi="Arial" w:cs="Arial"/>
          <w:i/>
          <w:iCs/>
        </w:rPr>
        <w:t>,</w:t>
      </w:r>
      <w:r w:rsidR="00F51F52" w:rsidRPr="005F44E8">
        <w:rPr>
          <w:rFonts w:ascii="Arial" w:hAnsi="Arial" w:cs="Arial"/>
          <w:color w:val="000000"/>
          <w:lang w:val="es-ES_tradnl"/>
        </w:rPr>
        <w:t xml:space="preserve"> y dirigida</w:t>
      </w:r>
      <w:r w:rsidR="0072093D" w:rsidRPr="005F44E8">
        <w:rPr>
          <w:rFonts w:ascii="Arial" w:hAnsi="Arial" w:cs="Arial"/>
          <w:color w:val="000000"/>
          <w:lang w:val="es-ES_tradnl"/>
        </w:rPr>
        <w:t>s</w:t>
      </w:r>
      <w:r w:rsidR="00F51F52" w:rsidRPr="005F44E8">
        <w:rPr>
          <w:rFonts w:ascii="Arial" w:hAnsi="Arial" w:cs="Arial"/>
          <w:color w:val="000000"/>
          <w:lang w:val="es-ES_tradnl"/>
        </w:rPr>
        <w:t xml:space="preserve"> </w:t>
      </w:r>
      <w:r w:rsidR="0072093D" w:rsidRPr="005F44E8">
        <w:rPr>
          <w:rFonts w:ascii="Arial" w:hAnsi="Arial" w:cs="Arial"/>
          <w:color w:val="000000"/>
          <w:lang w:val="es-ES_tradnl"/>
        </w:rPr>
        <w:t xml:space="preserve">a </w:t>
      </w:r>
      <w:r w:rsidR="00F51F52" w:rsidRPr="005F44E8">
        <w:rPr>
          <w:rFonts w:ascii="Arial" w:hAnsi="Arial" w:cs="Arial"/>
          <w:color w:val="000000"/>
          <w:lang w:val="es-ES_tradnl"/>
        </w:rPr>
        <w:t xml:space="preserve">los miembros del </w:t>
      </w:r>
      <w:r w:rsidR="000B20C1" w:rsidRPr="005F44E8">
        <w:rPr>
          <w:rFonts w:ascii="Arial" w:hAnsi="Arial" w:cs="Arial"/>
          <w:color w:val="000000"/>
          <w:lang w:val="es-ES_tradnl"/>
        </w:rPr>
        <w:t>C</w:t>
      </w:r>
      <w:r w:rsidR="00F51F52" w:rsidRPr="005F44E8">
        <w:rPr>
          <w:rFonts w:ascii="Arial" w:hAnsi="Arial" w:cs="Arial"/>
          <w:color w:val="000000"/>
          <w:lang w:val="es-ES_tradnl"/>
        </w:rPr>
        <w:t xml:space="preserve">omité </w:t>
      </w:r>
      <w:r w:rsidR="000B20C1" w:rsidRPr="005F44E8">
        <w:rPr>
          <w:rFonts w:ascii="Arial" w:hAnsi="Arial" w:cs="Arial"/>
          <w:color w:val="000000"/>
          <w:lang w:val="es-ES_tradnl"/>
        </w:rPr>
        <w:t>E</w:t>
      </w:r>
      <w:r w:rsidR="00F51F52" w:rsidRPr="005F44E8">
        <w:rPr>
          <w:rFonts w:ascii="Arial" w:hAnsi="Arial" w:cs="Arial"/>
          <w:color w:val="000000"/>
          <w:lang w:val="es-ES_tradnl"/>
        </w:rPr>
        <w:t xml:space="preserve">lectoral </w:t>
      </w:r>
      <w:r w:rsidR="0072093D" w:rsidRPr="005F44E8">
        <w:rPr>
          <w:rFonts w:ascii="Arial" w:hAnsi="Arial" w:cs="Arial"/>
          <w:color w:val="000000"/>
          <w:lang w:val="es-ES_tradnl"/>
        </w:rPr>
        <w:t xml:space="preserve">y al Rector (E) </w:t>
      </w:r>
      <w:r w:rsidR="00F51F52" w:rsidRPr="005F44E8">
        <w:rPr>
          <w:rFonts w:ascii="Arial" w:hAnsi="Arial" w:cs="Arial"/>
          <w:color w:val="000000"/>
          <w:lang w:val="es-ES_tradnl"/>
        </w:rPr>
        <w:t>de la Universidad del Pacífico.</w:t>
      </w:r>
    </w:p>
    <w:p w14:paraId="3D9C4C7E" w14:textId="77777777" w:rsidR="00F51F52" w:rsidRPr="005F44E8" w:rsidRDefault="00F51F52" w:rsidP="00F51F52">
      <w:pPr>
        <w:pStyle w:val="western"/>
        <w:shd w:val="clear" w:color="auto" w:fill="FFFFFF"/>
        <w:spacing w:before="0" w:beforeAutospacing="0" w:after="0" w:afterAutospacing="0" w:line="276" w:lineRule="auto"/>
        <w:jc w:val="both"/>
        <w:rPr>
          <w:rFonts w:ascii="Arial" w:hAnsi="Arial" w:cs="Arial"/>
          <w:color w:val="000000"/>
          <w:lang w:val="es-ES_tradnl"/>
        </w:rPr>
      </w:pPr>
    </w:p>
    <w:p w14:paraId="1B9C29D7" w14:textId="50816ACD" w:rsidR="00237D4E" w:rsidRPr="005F44E8" w:rsidRDefault="007775A8" w:rsidP="0004402D">
      <w:pPr>
        <w:pStyle w:val="Default"/>
        <w:numPr>
          <w:ilvl w:val="0"/>
          <w:numId w:val="3"/>
        </w:numPr>
        <w:spacing w:line="276" w:lineRule="auto"/>
        <w:jc w:val="both"/>
        <w:rPr>
          <w:lang w:val="es-ES_tradnl"/>
        </w:rPr>
      </w:pPr>
      <w:r w:rsidRPr="005F44E8">
        <w:rPr>
          <w:rFonts w:ascii="Arial" w:hAnsi="Arial" w:cs="Arial"/>
          <w:lang w:val="es-ES_tradnl"/>
        </w:rPr>
        <w:t>F</w:t>
      </w:r>
      <w:r w:rsidR="00237D4E" w:rsidRPr="005F44E8">
        <w:rPr>
          <w:rFonts w:ascii="Arial" w:hAnsi="Arial" w:cs="Arial"/>
          <w:lang w:val="es-ES_tradnl"/>
        </w:rPr>
        <w:t xml:space="preserve">allo </w:t>
      </w:r>
      <w:r w:rsidR="000B20C1" w:rsidRPr="005F44E8">
        <w:rPr>
          <w:rFonts w:ascii="Arial" w:hAnsi="Arial" w:cs="Arial"/>
          <w:lang w:val="es-ES_tradnl"/>
        </w:rPr>
        <w:t xml:space="preserve">proferido el 21 de mayo de 2020, por el </w:t>
      </w:r>
      <w:r w:rsidR="00237D4E" w:rsidRPr="005F44E8">
        <w:rPr>
          <w:rFonts w:ascii="Arial" w:hAnsi="Arial" w:cs="Arial"/>
          <w:lang w:val="es-ES_tradnl"/>
        </w:rPr>
        <w:t>Juzgado Segundo</w:t>
      </w:r>
      <w:r w:rsidR="000B20C1" w:rsidRPr="005F44E8">
        <w:rPr>
          <w:rFonts w:ascii="Arial" w:hAnsi="Arial" w:cs="Arial"/>
          <w:lang w:val="es-ES_tradnl"/>
        </w:rPr>
        <w:t xml:space="preserve"> (2°)</w:t>
      </w:r>
      <w:r w:rsidR="00237D4E" w:rsidRPr="005F44E8">
        <w:rPr>
          <w:rFonts w:ascii="Arial" w:hAnsi="Arial" w:cs="Arial"/>
          <w:lang w:val="es-ES_tradnl"/>
        </w:rPr>
        <w:t xml:space="preserve"> Administrativo de</w:t>
      </w:r>
      <w:r w:rsidR="000B20C1" w:rsidRPr="005F44E8">
        <w:rPr>
          <w:rFonts w:ascii="Arial" w:hAnsi="Arial" w:cs="Arial"/>
          <w:lang w:val="es-ES_tradnl"/>
        </w:rPr>
        <w:t>l Circuito de</w:t>
      </w:r>
      <w:r w:rsidR="00237D4E" w:rsidRPr="005F44E8">
        <w:rPr>
          <w:rFonts w:ascii="Arial" w:hAnsi="Arial" w:cs="Arial"/>
          <w:lang w:val="es-ES_tradnl"/>
        </w:rPr>
        <w:t xml:space="preserve"> Buenaventura </w:t>
      </w:r>
      <w:r w:rsidR="000B20C1" w:rsidRPr="005F44E8">
        <w:rPr>
          <w:rFonts w:ascii="Arial" w:hAnsi="Arial" w:cs="Arial"/>
          <w:lang w:val="es-ES_tradnl"/>
        </w:rPr>
        <w:t>(Valle del Cauca), con radicado No. 76-109-33-33-002-2020-00036-00, que declaró improcedente la acción de tutela instaurada por el señor Eduardo Antonio García Vega, contra la Universidad del Pacífico - Consejo Superior de la Universidad del Pacífico.</w:t>
      </w:r>
    </w:p>
    <w:p w14:paraId="50FDED6E" w14:textId="77777777" w:rsidR="00237D4E" w:rsidRPr="005F44E8" w:rsidRDefault="00237D4E" w:rsidP="00237D4E">
      <w:pPr>
        <w:pStyle w:val="western"/>
        <w:shd w:val="clear" w:color="auto" w:fill="FFFFFF"/>
        <w:spacing w:before="0" w:beforeAutospacing="0" w:after="0" w:afterAutospacing="0" w:line="276" w:lineRule="auto"/>
        <w:jc w:val="both"/>
        <w:rPr>
          <w:rFonts w:ascii="Arial" w:hAnsi="Arial" w:cs="Arial"/>
          <w:color w:val="000000"/>
          <w:lang w:val="es-ES_tradnl"/>
        </w:rPr>
      </w:pPr>
    </w:p>
    <w:p w14:paraId="388A6403" w14:textId="11BC33FB" w:rsidR="00237D4E" w:rsidRPr="005F44E8" w:rsidRDefault="00237D4E" w:rsidP="0004402D">
      <w:pPr>
        <w:pStyle w:val="western"/>
        <w:numPr>
          <w:ilvl w:val="0"/>
          <w:numId w:val="3"/>
        </w:numPr>
        <w:shd w:val="clear" w:color="auto" w:fill="FFFFFF"/>
        <w:spacing w:before="0" w:beforeAutospacing="0" w:after="0" w:afterAutospacing="0" w:line="276" w:lineRule="auto"/>
        <w:jc w:val="both"/>
        <w:rPr>
          <w:rFonts w:ascii="Arial" w:hAnsi="Arial" w:cs="Arial"/>
          <w:lang w:val="es-ES_tradnl"/>
        </w:rPr>
      </w:pPr>
      <w:r w:rsidRPr="005F44E8">
        <w:rPr>
          <w:rFonts w:ascii="Arial" w:hAnsi="Arial" w:cs="Arial"/>
          <w:lang w:val="es-ES_tradnl"/>
        </w:rPr>
        <w:t>Fallo de</w:t>
      </w:r>
      <w:r w:rsidR="000B20C1" w:rsidRPr="005F44E8">
        <w:rPr>
          <w:rFonts w:ascii="Arial" w:hAnsi="Arial" w:cs="Arial"/>
          <w:lang w:val="es-ES_tradnl"/>
        </w:rPr>
        <w:t xml:space="preserve"> tutela emitido el 7 de julio de 2020, por e</w:t>
      </w:r>
      <w:r w:rsidRPr="005F44E8">
        <w:rPr>
          <w:rFonts w:ascii="Arial" w:hAnsi="Arial" w:cs="Arial"/>
          <w:lang w:val="es-ES_tradnl"/>
        </w:rPr>
        <w:t>l Tribunal Administrativo del Valle</w:t>
      </w:r>
      <w:r w:rsidR="000B20C1" w:rsidRPr="005F44E8">
        <w:rPr>
          <w:rFonts w:ascii="Arial" w:hAnsi="Arial" w:cs="Arial"/>
          <w:lang w:val="es-ES_tradnl"/>
        </w:rPr>
        <w:t xml:space="preserve"> del Cauca</w:t>
      </w:r>
      <w:r w:rsidRPr="005F44E8">
        <w:rPr>
          <w:rFonts w:ascii="Arial" w:hAnsi="Arial" w:cs="Arial"/>
          <w:lang w:val="es-ES_tradnl"/>
        </w:rPr>
        <w:t xml:space="preserve">, </w:t>
      </w:r>
      <w:r w:rsidR="000B20C1" w:rsidRPr="005F44E8">
        <w:rPr>
          <w:rFonts w:ascii="Arial" w:hAnsi="Arial" w:cs="Arial"/>
          <w:lang w:val="es-ES_tradnl"/>
        </w:rPr>
        <w:t>M.P. Luz Elena Sierra Valencia, que confirmó la sentencia dictada el 21 de mayo de 2020, por el Juzgado Segundo (2°) Administrativo del Circuito de Buenaventura (Valle del Cauca)</w:t>
      </w:r>
      <w:r w:rsidRPr="005F44E8">
        <w:rPr>
          <w:rFonts w:ascii="Arial" w:hAnsi="Arial" w:cs="Arial"/>
          <w:lang w:val="es-ES_tradnl"/>
        </w:rPr>
        <w:t>.</w:t>
      </w:r>
    </w:p>
    <w:p w14:paraId="0CD177D2" w14:textId="77777777" w:rsidR="00864AFE" w:rsidRPr="005F44E8" w:rsidRDefault="00864AFE" w:rsidP="000648EC">
      <w:pPr>
        <w:spacing w:line="276" w:lineRule="auto"/>
        <w:jc w:val="both"/>
        <w:rPr>
          <w:rStyle w:val="normaltextrun"/>
          <w:rFonts w:ascii="Arial" w:hAnsi="Arial" w:cs="Arial"/>
          <w:b/>
          <w:bCs/>
          <w:color w:val="000000"/>
          <w:sz w:val="24"/>
          <w:szCs w:val="24"/>
          <w:shd w:val="clear" w:color="auto" w:fill="FFFFFF"/>
        </w:rPr>
      </w:pPr>
    </w:p>
    <w:p w14:paraId="55DD8F61" w14:textId="44D2380D" w:rsidR="00864AFE" w:rsidRPr="005F44E8" w:rsidRDefault="00864AFE" w:rsidP="000648EC">
      <w:pPr>
        <w:spacing w:line="276" w:lineRule="auto"/>
        <w:jc w:val="both"/>
        <w:rPr>
          <w:rStyle w:val="normaltextrun"/>
          <w:rFonts w:ascii="Arial" w:hAnsi="Arial" w:cs="Arial"/>
          <w:color w:val="000000"/>
          <w:sz w:val="24"/>
          <w:szCs w:val="24"/>
          <w:shd w:val="clear" w:color="auto" w:fill="FFFFFF"/>
        </w:rPr>
      </w:pPr>
      <w:r w:rsidRPr="005F44E8">
        <w:rPr>
          <w:rStyle w:val="normaltextrun"/>
          <w:rFonts w:ascii="Arial" w:hAnsi="Arial" w:cs="Arial"/>
          <w:color w:val="000000"/>
          <w:sz w:val="24"/>
          <w:szCs w:val="24"/>
          <w:shd w:val="clear" w:color="auto" w:fill="FFFFFF"/>
        </w:rPr>
        <w:t>Precisado lo anterior, se deja constancia que la parte actora no solicitó el decreto y práctica de prueba alguna que deba ser objeto de pronunciamiento en esta etapa del proceso.</w:t>
      </w:r>
    </w:p>
    <w:p w14:paraId="3534184E" w14:textId="77777777" w:rsidR="00864AFE" w:rsidRPr="005F44E8" w:rsidRDefault="00864AFE" w:rsidP="000648EC">
      <w:pPr>
        <w:spacing w:line="276" w:lineRule="auto"/>
        <w:jc w:val="both"/>
        <w:rPr>
          <w:rStyle w:val="normaltextrun"/>
          <w:rFonts w:ascii="Arial" w:hAnsi="Arial" w:cs="Arial"/>
          <w:b/>
          <w:bCs/>
          <w:color w:val="000000"/>
          <w:sz w:val="24"/>
          <w:szCs w:val="24"/>
          <w:shd w:val="clear" w:color="auto" w:fill="FFFFFF"/>
        </w:rPr>
      </w:pPr>
    </w:p>
    <w:p w14:paraId="6885846A" w14:textId="2FD26331" w:rsidR="00237D4E" w:rsidRPr="005F44E8" w:rsidRDefault="007775A8" w:rsidP="000648EC">
      <w:pPr>
        <w:spacing w:line="276" w:lineRule="auto"/>
        <w:jc w:val="both"/>
        <w:rPr>
          <w:rStyle w:val="eop"/>
          <w:rFonts w:ascii="Arial" w:hAnsi="Arial" w:cs="Arial"/>
          <w:color w:val="000000"/>
          <w:sz w:val="24"/>
          <w:szCs w:val="24"/>
          <w:shd w:val="clear" w:color="auto" w:fill="FFFFFF"/>
        </w:rPr>
      </w:pPr>
      <w:r w:rsidRPr="005F44E8">
        <w:rPr>
          <w:rStyle w:val="normaltextrun"/>
          <w:rFonts w:ascii="Arial" w:hAnsi="Arial" w:cs="Arial"/>
          <w:b/>
          <w:bCs/>
          <w:color w:val="000000"/>
          <w:sz w:val="24"/>
          <w:szCs w:val="24"/>
          <w:shd w:val="clear" w:color="auto" w:fill="FFFFFF"/>
        </w:rPr>
        <w:t>2.3.1.2</w:t>
      </w:r>
      <w:r w:rsidR="000114C7" w:rsidRPr="005F44E8">
        <w:rPr>
          <w:rStyle w:val="normaltextrun"/>
          <w:rFonts w:ascii="Arial" w:hAnsi="Arial" w:cs="Arial"/>
          <w:b/>
          <w:bCs/>
          <w:color w:val="000000"/>
          <w:sz w:val="24"/>
          <w:szCs w:val="24"/>
          <w:shd w:val="clear" w:color="auto" w:fill="FFFFFF"/>
        </w:rPr>
        <w:t>.</w:t>
      </w:r>
      <w:r w:rsidRPr="005F44E8">
        <w:rPr>
          <w:rStyle w:val="normaltextrun"/>
          <w:rFonts w:ascii="Arial" w:hAnsi="Arial" w:cs="Arial"/>
          <w:b/>
          <w:bCs/>
          <w:color w:val="000000"/>
          <w:sz w:val="24"/>
          <w:szCs w:val="24"/>
          <w:shd w:val="clear" w:color="auto" w:fill="FFFFFF"/>
        </w:rPr>
        <w:t> Demandados.</w:t>
      </w:r>
      <w:r w:rsidRPr="005F44E8">
        <w:rPr>
          <w:rStyle w:val="eop"/>
          <w:rFonts w:ascii="Arial" w:hAnsi="Arial" w:cs="Arial"/>
          <w:color w:val="000000"/>
          <w:sz w:val="24"/>
          <w:szCs w:val="24"/>
          <w:shd w:val="clear" w:color="auto" w:fill="FFFFFF"/>
        </w:rPr>
        <w:t> </w:t>
      </w:r>
    </w:p>
    <w:p w14:paraId="4278CBC2" w14:textId="77777777" w:rsidR="007775A8" w:rsidRPr="005F44E8" w:rsidRDefault="007775A8" w:rsidP="000648EC">
      <w:pPr>
        <w:spacing w:line="276" w:lineRule="auto"/>
        <w:jc w:val="both"/>
        <w:rPr>
          <w:rFonts w:ascii="Arial" w:hAnsi="Arial" w:cs="Arial"/>
          <w:b/>
          <w:bCs/>
          <w:sz w:val="24"/>
          <w:szCs w:val="24"/>
        </w:rPr>
      </w:pPr>
    </w:p>
    <w:p w14:paraId="6392216E" w14:textId="6CBC7948" w:rsidR="007775A8" w:rsidRPr="005F44E8" w:rsidRDefault="007775A8" w:rsidP="007775A8">
      <w:pPr>
        <w:pStyle w:val="paragraph"/>
        <w:spacing w:before="0" w:beforeAutospacing="0" w:after="0" w:afterAutospacing="0"/>
        <w:jc w:val="both"/>
        <w:textAlignment w:val="baseline"/>
        <w:rPr>
          <w:rFonts w:ascii="Segoe UI" w:hAnsi="Segoe UI" w:cs="Segoe UI"/>
          <w:sz w:val="18"/>
          <w:szCs w:val="18"/>
        </w:rPr>
      </w:pPr>
      <w:r w:rsidRPr="005F44E8">
        <w:rPr>
          <w:rStyle w:val="normaltextrun"/>
          <w:rFonts w:ascii="Arial" w:hAnsi="Arial" w:cs="Arial"/>
          <w:b/>
          <w:bCs/>
          <w:lang w:val="es-CO"/>
        </w:rPr>
        <w:t>2.3.1.2.1</w:t>
      </w:r>
      <w:r w:rsidR="000114C7" w:rsidRPr="005F44E8">
        <w:rPr>
          <w:rStyle w:val="normaltextrun"/>
          <w:rFonts w:ascii="Arial" w:hAnsi="Arial" w:cs="Arial"/>
          <w:b/>
          <w:bCs/>
          <w:lang w:val="es-CO"/>
        </w:rPr>
        <w:t>.</w:t>
      </w:r>
      <w:r w:rsidRPr="005F44E8">
        <w:rPr>
          <w:rStyle w:val="normaltextrun"/>
          <w:rFonts w:ascii="Arial" w:hAnsi="Arial" w:cs="Arial"/>
          <w:b/>
          <w:bCs/>
          <w:lang w:val="es-CO"/>
        </w:rPr>
        <w:t> Nación – Ministerio de Educación Nacional.</w:t>
      </w:r>
      <w:r w:rsidRPr="005F44E8">
        <w:rPr>
          <w:rStyle w:val="eop"/>
          <w:rFonts w:ascii="Arial" w:eastAsia="Calibri" w:hAnsi="Arial" w:cs="Arial"/>
        </w:rPr>
        <w:t> </w:t>
      </w:r>
    </w:p>
    <w:p w14:paraId="78197411" w14:textId="77777777" w:rsidR="007775A8" w:rsidRPr="005F44E8" w:rsidRDefault="007775A8" w:rsidP="007775A8">
      <w:pPr>
        <w:pStyle w:val="paragraph"/>
        <w:spacing w:before="0" w:beforeAutospacing="0" w:after="0" w:afterAutospacing="0"/>
        <w:jc w:val="both"/>
        <w:textAlignment w:val="baseline"/>
        <w:rPr>
          <w:rFonts w:ascii="Segoe UI" w:hAnsi="Segoe UI" w:cs="Segoe UI"/>
          <w:sz w:val="18"/>
          <w:szCs w:val="18"/>
        </w:rPr>
      </w:pPr>
      <w:r w:rsidRPr="005F44E8">
        <w:rPr>
          <w:rStyle w:val="eop"/>
          <w:rFonts w:ascii="Arial" w:eastAsia="Calibri" w:hAnsi="Arial" w:cs="Arial"/>
        </w:rPr>
        <w:t> </w:t>
      </w:r>
    </w:p>
    <w:p w14:paraId="03869ABA" w14:textId="48F6879D" w:rsidR="007775A8" w:rsidRPr="005F44E8" w:rsidRDefault="007775A8" w:rsidP="007775A8">
      <w:pPr>
        <w:pStyle w:val="paragraph"/>
        <w:spacing w:before="0" w:beforeAutospacing="0" w:after="0" w:afterAutospacing="0" w:line="276" w:lineRule="auto"/>
        <w:jc w:val="both"/>
        <w:textAlignment w:val="baseline"/>
        <w:rPr>
          <w:rFonts w:ascii="Segoe UI" w:hAnsi="Segoe UI" w:cs="Segoe UI"/>
          <w:sz w:val="18"/>
          <w:szCs w:val="18"/>
        </w:rPr>
      </w:pPr>
      <w:r w:rsidRPr="005F44E8">
        <w:rPr>
          <w:rStyle w:val="normaltextrun"/>
          <w:rFonts w:ascii="Arial" w:hAnsi="Arial" w:cs="Arial"/>
          <w:lang w:val="es-CO"/>
        </w:rPr>
        <w:t>Se deja constancia que el apoderado de la Nación – Ministerio de Educación Nacional</w:t>
      </w:r>
      <w:r w:rsidR="0004402D" w:rsidRPr="005F44E8">
        <w:rPr>
          <w:rStyle w:val="normaltextrun"/>
          <w:rFonts w:ascii="Arial" w:hAnsi="Arial" w:cs="Arial"/>
          <w:lang w:val="es-CO"/>
        </w:rPr>
        <w:t>,</w:t>
      </w:r>
      <w:r w:rsidRPr="005F44E8">
        <w:rPr>
          <w:rStyle w:val="normaltextrun"/>
          <w:rFonts w:ascii="Arial" w:hAnsi="Arial" w:cs="Arial"/>
          <w:lang w:val="es-CO"/>
        </w:rPr>
        <w:t xml:space="preserve"> no aportó ni pidió pruebas en el escrito de contestación de la demanda.</w:t>
      </w:r>
      <w:r w:rsidRPr="005F44E8">
        <w:rPr>
          <w:rStyle w:val="eop"/>
          <w:rFonts w:ascii="Arial" w:eastAsia="Calibri" w:hAnsi="Arial" w:cs="Arial"/>
        </w:rPr>
        <w:t> </w:t>
      </w:r>
    </w:p>
    <w:p w14:paraId="3D7852CA" w14:textId="353C426C" w:rsidR="00D145AD" w:rsidRPr="00D145AD" w:rsidRDefault="004B5434" w:rsidP="005F44E8">
      <w:pPr>
        <w:spacing w:before="100" w:beforeAutospacing="1" w:after="100" w:afterAutospacing="1"/>
        <w:jc w:val="both"/>
        <w:rPr>
          <w:rFonts w:ascii="Arial" w:eastAsia="Times New Roman" w:hAnsi="Arial" w:cs="Arial"/>
          <w:sz w:val="24"/>
          <w:szCs w:val="24"/>
          <w:lang w:val="es-MX" w:eastAsia="es-MX"/>
        </w:rPr>
      </w:pPr>
      <w:r w:rsidRPr="00074627">
        <w:rPr>
          <w:rStyle w:val="normaltextrun"/>
          <w:rFonts w:ascii="Arial" w:hAnsi="Arial" w:cs="Arial"/>
          <w:b/>
          <w:bCs/>
          <w:sz w:val="24"/>
          <w:szCs w:val="24"/>
        </w:rPr>
        <w:t>2.3.1.2.2. </w:t>
      </w:r>
      <w:r w:rsidR="005F44E8" w:rsidRPr="00074627">
        <w:rPr>
          <w:rFonts w:ascii="Arial" w:eastAsia="Times New Roman" w:hAnsi="Arial" w:cs="Arial"/>
          <w:sz w:val="24"/>
          <w:szCs w:val="24"/>
          <w:lang w:val="es-MX" w:eastAsia="es-MX"/>
        </w:rPr>
        <w:t xml:space="preserve">Por otra parte, se deja constancia que </w:t>
      </w:r>
      <w:r w:rsidR="00AB7A97">
        <w:rPr>
          <w:rFonts w:ascii="Arial" w:eastAsia="Times New Roman" w:hAnsi="Arial" w:cs="Arial"/>
          <w:sz w:val="24"/>
          <w:szCs w:val="24"/>
          <w:lang w:val="es-MX" w:eastAsia="es-MX"/>
        </w:rPr>
        <w:t xml:space="preserve">ni </w:t>
      </w:r>
      <w:r w:rsidR="00D145AD" w:rsidRPr="00D145AD">
        <w:rPr>
          <w:rFonts w:ascii="Arial" w:eastAsia="Times New Roman" w:hAnsi="Arial" w:cs="Arial"/>
          <w:sz w:val="24"/>
          <w:szCs w:val="24"/>
          <w:lang w:val="es-MX" w:eastAsia="es-MX"/>
        </w:rPr>
        <w:t>los demandados</w:t>
      </w:r>
      <w:r w:rsidR="009F2076" w:rsidRPr="00074627">
        <w:rPr>
          <w:rFonts w:ascii="Arial" w:eastAsia="Times New Roman" w:hAnsi="Arial" w:cs="Arial"/>
          <w:sz w:val="24"/>
          <w:szCs w:val="24"/>
          <w:lang w:val="es-MX" w:eastAsia="es-MX"/>
        </w:rPr>
        <w:t>,</w:t>
      </w:r>
      <w:r w:rsidR="00D145AD" w:rsidRPr="00D145AD">
        <w:rPr>
          <w:rFonts w:ascii="Arial" w:eastAsia="Times New Roman" w:hAnsi="Arial" w:cs="Arial"/>
          <w:sz w:val="24"/>
          <w:szCs w:val="24"/>
          <w:lang w:val="es-MX" w:eastAsia="es-MX"/>
        </w:rPr>
        <w:t xml:space="preserve"> ni los demás </w:t>
      </w:r>
      <w:r w:rsidR="007F4E26" w:rsidRPr="00074627">
        <w:rPr>
          <w:rFonts w:ascii="Arial" w:eastAsia="Times New Roman" w:hAnsi="Arial" w:cs="Arial"/>
          <w:sz w:val="24"/>
          <w:szCs w:val="24"/>
          <w:lang w:val="es-MX" w:eastAsia="es-MX"/>
        </w:rPr>
        <w:t xml:space="preserve">sujetos procesales </w:t>
      </w:r>
      <w:r w:rsidR="00D145AD" w:rsidRPr="00D145AD">
        <w:rPr>
          <w:rFonts w:ascii="Arial" w:eastAsia="Times New Roman" w:hAnsi="Arial" w:cs="Arial"/>
          <w:sz w:val="24"/>
          <w:szCs w:val="24"/>
          <w:lang w:val="es-MX" w:eastAsia="es-MX"/>
        </w:rPr>
        <w:t>vinculados</w:t>
      </w:r>
      <w:r w:rsidR="005F44E8" w:rsidRPr="00074627">
        <w:rPr>
          <w:rFonts w:ascii="Arial" w:eastAsia="Times New Roman" w:hAnsi="Arial" w:cs="Arial"/>
          <w:sz w:val="24"/>
          <w:szCs w:val="24"/>
          <w:lang w:val="es-MX" w:eastAsia="es-MX"/>
        </w:rPr>
        <w:t xml:space="preserve"> al</w:t>
      </w:r>
      <w:r w:rsidR="00074627" w:rsidRPr="00074627">
        <w:rPr>
          <w:rFonts w:ascii="Arial" w:eastAsia="Times New Roman" w:hAnsi="Arial" w:cs="Arial"/>
          <w:sz w:val="24"/>
          <w:szCs w:val="24"/>
          <w:lang w:val="es-MX" w:eastAsia="es-MX"/>
        </w:rPr>
        <w:t xml:space="preserve"> presente trámite</w:t>
      </w:r>
      <w:r w:rsidR="00D145AD" w:rsidRPr="00074627">
        <w:rPr>
          <w:rFonts w:ascii="Arial" w:eastAsia="Times New Roman" w:hAnsi="Arial" w:cs="Arial"/>
          <w:sz w:val="24"/>
          <w:szCs w:val="24"/>
          <w:lang w:val="es-MX" w:eastAsia="es-MX"/>
        </w:rPr>
        <w:t xml:space="preserve"> </w:t>
      </w:r>
      <w:r w:rsidR="00D145AD" w:rsidRPr="00D145AD">
        <w:rPr>
          <w:rFonts w:ascii="Arial" w:eastAsia="Times New Roman" w:hAnsi="Arial" w:cs="Arial"/>
          <w:sz w:val="24"/>
          <w:szCs w:val="24"/>
          <w:lang w:val="es-MX" w:eastAsia="es-MX"/>
        </w:rPr>
        <w:t>contestaron</w:t>
      </w:r>
      <w:r w:rsidR="00D145AD" w:rsidRPr="00074627">
        <w:rPr>
          <w:rFonts w:ascii="Arial" w:eastAsia="Times New Roman" w:hAnsi="Arial" w:cs="Arial"/>
          <w:sz w:val="24"/>
          <w:szCs w:val="24"/>
          <w:lang w:val="es-MX" w:eastAsia="es-MX"/>
        </w:rPr>
        <w:t xml:space="preserve"> el libelo.</w:t>
      </w:r>
    </w:p>
    <w:p w14:paraId="076CC83B" w14:textId="1585A6EF" w:rsidR="000648EC" w:rsidRPr="005F44E8" w:rsidRDefault="000648EC" w:rsidP="000648EC">
      <w:pPr>
        <w:spacing w:line="276" w:lineRule="auto"/>
        <w:jc w:val="both"/>
        <w:rPr>
          <w:rFonts w:ascii="Arial" w:hAnsi="Arial" w:cs="Arial"/>
          <w:b/>
          <w:bCs/>
          <w:sz w:val="24"/>
          <w:szCs w:val="24"/>
        </w:rPr>
      </w:pPr>
      <w:r w:rsidRPr="005F44E8">
        <w:rPr>
          <w:rFonts w:ascii="Arial" w:hAnsi="Arial" w:cs="Arial"/>
          <w:b/>
          <w:bCs/>
          <w:sz w:val="24"/>
          <w:szCs w:val="24"/>
        </w:rPr>
        <w:t>2.3.2</w:t>
      </w:r>
      <w:r w:rsidR="000114C7" w:rsidRPr="005F44E8">
        <w:rPr>
          <w:rFonts w:ascii="Arial" w:hAnsi="Arial" w:cs="Arial"/>
          <w:b/>
          <w:bCs/>
          <w:sz w:val="24"/>
          <w:szCs w:val="24"/>
        </w:rPr>
        <w:t>.</w:t>
      </w:r>
      <w:r w:rsidRPr="005F44E8">
        <w:rPr>
          <w:rFonts w:ascii="Arial" w:hAnsi="Arial" w:cs="Arial"/>
          <w:b/>
          <w:bCs/>
          <w:sz w:val="24"/>
          <w:szCs w:val="24"/>
        </w:rPr>
        <w:t xml:space="preserve"> Fijación del litigio.</w:t>
      </w:r>
    </w:p>
    <w:p w14:paraId="734A3767" w14:textId="77777777" w:rsidR="000648EC" w:rsidRPr="005F44E8" w:rsidRDefault="000648EC" w:rsidP="000648EC">
      <w:pPr>
        <w:spacing w:line="276" w:lineRule="auto"/>
        <w:jc w:val="both"/>
        <w:rPr>
          <w:rFonts w:ascii="Arial" w:hAnsi="Arial" w:cs="Arial"/>
          <w:b/>
          <w:bCs/>
          <w:sz w:val="24"/>
          <w:szCs w:val="24"/>
        </w:rPr>
      </w:pPr>
    </w:p>
    <w:p w14:paraId="69523C1C" w14:textId="0D5A2704" w:rsidR="001B3425" w:rsidRPr="005F44E8" w:rsidRDefault="000648EC" w:rsidP="00334E14">
      <w:pPr>
        <w:spacing w:line="276" w:lineRule="auto"/>
        <w:jc w:val="both"/>
        <w:rPr>
          <w:rFonts w:ascii="Arial" w:hAnsi="Arial" w:cs="Arial"/>
          <w:sz w:val="24"/>
          <w:szCs w:val="24"/>
          <w:lang w:val="es-ES_tradnl"/>
        </w:rPr>
      </w:pPr>
      <w:r w:rsidRPr="005F44E8">
        <w:rPr>
          <w:rFonts w:ascii="Arial" w:hAnsi="Arial" w:cs="Arial"/>
          <w:sz w:val="24"/>
          <w:szCs w:val="24"/>
        </w:rPr>
        <w:t xml:space="preserve">Considera el despacho que el </w:t>
      </w:r>
      <w:r w:rsidRPr="005F44E8">
        <w:rPr>
          <w:rFonts w:ascii="Arial" w:hAnsi="Arial" w:cs="Arial"/>
          <w:b/>
          <w:bCs/>
          <w:sz w:val="24"/>
          <w:szCs w:val="24"/>
        </w:rPr>
        <w:t>litigio</w:t>
      </w:r>
      <w:r w:rsidRPr="005F44E8">
        <w:rPr>
          <w:rFonts w:ascii="Arial" w:hAnsi="Arial" w:cs="Arial"/>
          <w:sz w:val="24"/>
          <w:szCs w:val="24"/>
        </w:rPr>
        <w:t xml:space="preserve"> se contrae a determinar si </w:t>
      </w:r>
      <w:r w:rsidR="00334E14" w:rsidRPr="005F44E8">
        <w:rPr>
          <w:rFonts w:ascii="Arial" w:hAnsi="Arial" w:cs="Arial"/>
          <w:sz w:val="24"/>
          <w:szCs w:val="24"/>
        </w:rPr>
        <w:t>la</w:t>
      </w:r>
      <w:r w:rsidRPr="005F44E8">
        <w:rPr>
          <w:rFonts w:ascii="Arial" w:hAnsi="Arial" w:cs="Arial"/>
          <w:sz w:val="24"/>
          <w:szCs w:val="24"/>
        </w:rPr>
        <w:t xml:space="preserve"> elección de</w:t>
      </w:r>
      <w:r w:rsidR="00334E14" w:rsidRPr="005F44E8">
        <w:rPr>
          <w:rFonts w:ascii="Arial" w:hAnsi="Arial" w:cs="Arial"/>
          <w:sz w:val="24"/>
          <w:szCs w:val="24"/>
          <w:lang w:val="es-ES_tradnl"/>
        </w:rPr>
        <w:t xml:space="preserve"> los señores</w:t>
      </w:r>
      <w:r w:rsidR="00334E14" w:rsidRPr="005F44E8">
        <w:rPr>
          <w:sz w:val="24"/>
          <w:szCs w:val="24"/>
        </w:rPr>
        <w:t xml:space="preserve"> </w:t>
      </w:r>
      <w:r w:rsidR="00334E14" w:rsidRPr="005F44E8">
        <w:rPr>
          <w:rFonts w:ascii="Arial" w:hAnsi="Arial" w:cs="Arial"/>
          <w:sz w:val="24"/>
          <w:szCs w:val="24"/>
          <w:lang w:val="es-ES_tradnl"/>
        </w:rPr>
        <w:t xml:space="preserve">Fidel Quinto Mosquera y Juan Diego Castrillón Orrego como representantes, principal y suplente, respectivamente, de </w:t>
      </w:r>
      <w:r w:rsidR="00334E14" w:rsidRPr="005F44E8">
        <w:rPr>
          <w:rFonts w:ascii="Arial" w:hAnsi="Arial" w:cs="Arial"/>
          <w:bCs/>
          <w:sz w:val="24"/>
          <w:szCs w:val="24"/>
          <w:lang w:val="es-ES" w:eastAsia="es-ES"/>
        </w:rPr>
        <w:t>los ex - Rectores ante el Consejo Superior de la Universidad del Pacífico</w:t>
      </w:r>
      <w:r w:rsidRPr="005F44E8">
        <w:rPr>
          <w:rFonts w:ascii="Arial" w:hAnsi="Arial" w:cs="Arial"/>
          <w:sz w:val="24"/>
          <w:szCs w:val="24"/>
        </w:rPr>
        <w:t xml:space="preserve">, </w:t>
      </w:r>
      <w:r w:rsidR="00334E14" w:rsidRPr="005F44E8">
        <w:rPr>
          <w:rFonts w:ascii="Arial" w:hAnsi="Arial" w:cs="Arial"/>
          <w:sz w:val="24"/>
          <w:szCs w:val="24"/>
        </w:rPr>
        <w:t xml:space="preserve">contenida en el </w:t>
      </w:r>
      <w:r w:rsidR="00334E14" w:rsidRPr="005F44E8">
        <w:rPr>
          <w:rFonts w:ascii="Arial" w:hAnsi="Arial" w:cs="Arial"/>
          <w:color w:val="000000"/>
          <w:sz w:val="24"/>
          <w:szCs w:val="24"/>
          <w:lang w:val="es-ES_tradnl"/>
        </w:rPr>
        <w:t>Acta electoral No. 08 de 27 de marzo de 2020,</w:t>
      </w:r>
      <w:r w:rsidR="00334E14" w:rsidRPr="005F44E8">
        <w:rPr>
          <w:rFonts w:ascii="Arial" w:hAnsi="Arial" w:cs="Arial"/>
          <w:sz w:val="24"/>
          <w:szCs w:val="24"/>
        </w:rPr>
        <w:t xml:space="preserve"> infringió los artículos 13, 29 y 40 de la Constitución </w:t>
      </w:r>
      <w:r w:rsidR="00334E14" w:rsidRPr="005F44E8">
        <w:rPr>
          <w:rFonts w:ascii="Arial" w:hAnsi="Arial" w:cs="Arial"/>
          <w:sz w:val="24"/>
          <w:szCs w:val="24"/>
        </w:rPr>
        <w:lastRenderedPageBreak/>
        <w:t>Política; 36, 40 y 42</w:t>
      </w:r>
      <w:r w:rsidR="00334E14" w:rsidRPr="005F44E8">
        <w:rPr>
          <w:rFonts w:ascii="Arial" w:hAnsi="Arial" w:cs="Arial"/>
          <w:sz w:val="24"/>
          <w:szCs w:val="24"/>
          <w:vertAlign w:val="superscript"/>
        </w:rPr>
        <w:t xml:space="preserve"> </w:t>
      </w:r>
      <w:r w:rsidR="00334E14" w:rsidRPr="005F44E8">
        <w:rPr>
          <w:rFonts w:ascii="Arial" w:hAnsi="Arial" w:cs="Arial"/>
          <w:sz w:val="24"/>
          <w:szCs w:val="24"/>
        </w:rPr>
        <w:t>del Acuerdo 070 de 2019 y 2°</w:t>
      </w:r>
      <w:r w:rsidR="00334E14" w:rsidRPr="005F44E8">
        <w:rPr>
          <w:rFonts w:ascii="Arial" w:hAnsi="Arial" w:cs="Arial"/>
          <w:sz w:val="24"/>
          <w:szCs w:val="24"/>
          <w:vertAlign w:val="superscript"/>
        </w:rPr>
        <w:t xml:space="preserve"> </w:t>
      </w:r>
      <w:r w:rsidR="00334E14" w:rsidRPr="005F44E8">
        <w:rPr>
          <w:rFonts w:ascii="Arial" w:hAnsi="Arial" w:cs="Arial"/>
          <w:sz w:val="24"/>
          <w:szCs w:val="24"/>
        </w:rPr>
        <w:t>del Acuerdo 075 de 2020</w:t>
      </w:r>
      <w:r w:rsidRPr="005F44E8">
        <w:rPr>
          <w:rFonts w:ascii="Arial" w:hAnsi="Arial" w:cs="Arial"/>
          <w:sz w:val="24"/>
          <w:szCs w:val="24"/>
          <w:lang w:val="es-ES_tradnl"/>
        </w:rPr>
        <w:t xml:space="preserve">, </w:t>
      </w:r>
      <w:r w:rsidR="00334E14" w:rsidRPr="005F44E8">
        <w:rPr>
          <w:rFonts w:ascii="Arial" w:hAnsi="Arial" w:cs="Arial"/>
          <w:sz w:val="24"/>
          <w:szCs w:val="24"/>
          <w:lang w:val="es-ES_tradnl"/>
        </w:rPr>
        <w:t xml:space="preserve">por haberse llevado a cabo en una </w:t>
      </w:r>
      <w:r w:rsidR="001B3425" w:rsidRPr="005F44E8">
        <w:rPr>
          <w:rFonts w:ascii="Arial" w:hAnsi="Arial" w:cs="Arial"/>
          <w:sz w:val="24"/>
          <w:szCs w:val="24"/>
        </w:rPr>
        <w:t xml:space="preserve">reunión </w:t>
      </w:r>
      <w:proofErr w:type="spellStart"/>
      <w:r w:rsidR="001B3425" w:rsidRPr="005F44E8">
        <w:rPr>
          <w:rFonts w:ascii="Arial" w:hAnsi="Arial" w:cs="Arial"/>
          <w:sz w:val="24"/>
          <w:szCs w:val="24"/>
        </w:rPr>
        <w:t>estamentaria</w:t>
      </w:r>
      <w:proofErr w:type="spellEnd"/>
      <w:r w:rsidR="001B3425" w:rsidRPr="005F44E8">
        <w:rPr>
          <w:rFonts w:ascii="Arial" w:hAnsi="Arial" w:cs="Arial"/>
          <w:sz w:val="24"/>
          <w:szCs w:val="24"/>
          <w:lang w:val="es-ES_tradnl"/>
        </w:rPr>
        <w:t xml:space="preserve"> que </w:t>
      </w:r>
      <w:r w:rsidR="001B3425" w:rsidRPr="005F44E8">
        <w:rPr>
          <w:rFonts w:ascii="Arial" w:hAnsi="Arial" w:cs="Arial"/>
          <w:sz w:val="24"/>
          <w:szCs w:val="24"/>
        </w:rPr>
        <w:t>no fue convocada por el Rector y a la cual no asistieron todos los ex - Rectores que ejercieron el cargo en propiedad en universidades estatales del pacífico, entre ellos, el demandante, debido a que se modificó la fecha para la realización de la asamblea de elección, sin que el actor hubiere sido informado de dicho cambio.</w:t>
      </w:r>
    </w:p>
    <w:p w14:paraId="04045C69" w14:textId="77777777" w:rsidR="000648EC" w:rsidRPr="005F44E8" w:rsidRDefault="000648EC" w:rsidP="000648EC">
      <w:pPr>
        <w:spacing w:line="276" w:lineRule="auto"/>
        <w:jc w:val="both"/>
        <w:rPr>
          <w:rFonts w:ascii="Arial" w:hAnsi="Arial" w:cs="Arial"/>
          <w:b/>
          <w:bCs/>
          <w:sz w:val="24"/>
          <w:szCs w:val="24"/>
        </w:rPr>
      </w:pPr>
    </w:p>
    <w:p w14:paraId="5CBBFE16" w14:textId="4361E854" w:rsidR="000648EC" w:rsidRPr="005F44E8" w:rsidRDefault="000648EC" w:rsidP="000648EC">
      <w:pPr>
        <w:spacing w:line="276" w:lineRule="auto"/>
        <w:jc w:val="both"/>
        <w:rPr>
          <w:rStyle w:val="eop"/>
          <w:rFonts w:ascii="Arial" w:hAnsi="Arial" w:cs="Arial"/>
          <w:color w:val="000000"/>
          <w:shd w:val="clear" w:color="auto" w:fill="FFFFFF"/>
        </w:rPr>
      </w:pPr>
      <w:r w:rsidRPr="005F44E8">
        <w:rPr>
          <w:rFonts w:ascii="Arial" w:hAnsi="Arial" w:cs="Arial"/>
          <w:b/>
          <w:bCs/>
          <w:sz w:val="24"/>
          <w:szCs w:val="24"/>
        </w:rPr>
        <w:t>2.3.</w:t>
      </w:r>
      <w:r w:rsidR="00FD18F7" w:rsidRPr="005F44E8">
        <w:rPr>
          <w:rFonts w:ascii="Arial" w:hAnsi="Arial" w:cs="Arial"/>
          <w:b/>
          <w:bCs/>
          <w:sz w:val="24"/>
          <w:szCs w:val="24"/>
        </w:rPr>
        <w:t>3</w:t>
      </w:r>
      <w:r w:rsidR="000114C7" w:rsidRPr="005F44E8">
        <w:rPr>
          <w:rFonts w:ascii="Arial" w:hAnsi="Arial" w:cs="Arial"/>
          <w:b/>
          <w:bCs/>
          <w:sz w:val="24"/>
          <w:szCs w:val="24"/>
        </w:rPr>
        <w:t>.</w:t>
      </w:r>
      <w:r w:rsidRPr="005F44E8">
        <w:rPr>
          <w:rFonts w:ascii="Arial" w:hAnsi="Arial" w:cs="Arial"/>
          <w:b/>
          <w:bCs/>
          <w:sz w:val="24"/>
          <w:szCs w:val="24"/>
        </w:rPr>
        <w:t xml:space="preserve"> Procedencia de la sentencia anticipada</w:t>
      </w:r>
      <w:r w:rsidR="007775A8" w:rsidRPr="005F44E8">
        <w:rPr>
          <w:rFonts w:ascii="Arial" w:hAnsi="Arial" w:cs="Arial"/>
          <w:b/>
          <w:bCs/>
          <w:sz w:val="24"/>
          <w:szCs w:val="24"/>
        </w:rPr>
        <w:t xml:space="preserve"> </w:t>
      </w:r>
      <w:r w:rsidR="007775A8" w:rsidRPr="005F44E8">
        <w:rPr>
          <w:rStyle w:val="normaltextrun"/>
          <w:rFonts w:ascii="Arial" w:hAnsi="Arial" w:cs="Arial"/>
          <w:b/>
          <w:bCs/>
          <w:color w:val="000000"/>
          <w:shd w:val="clear" w:color="auto" w:fill="FFFFFF"/>
        </w:rPr>
        <w:t>y traslado a los sujetos procesales. </w:t>
      </w:r>
      <w:r w:rsidR="007775A8" w:rsidRPr="005F44E8">
        <w:rPr>
          <w:rStyle w:val="eop"/>
          <w:rFonts w:ascii="Arial" w:hAnsi="Arial" w:cs="Arial"/>
          <w:color w:val="000000"/>
          <w:shd w:val="clear" w:color="auto" w:fill="FFFFFF"/>
        </w:rPr>
        <w:t> </w:t>
      </w:r>
    </w:p>
    <w:p w14:paraId="56987CB4" w14:textId="77777777" w:rsidR="00FD18F7" w:rsidRPr="005F44E8" w:rsidRDefault="00FD18F7" w:rsidP="000648EC">
      <w:pPr>
        <w:spacing w:line="276" w:lineRule="auto"/>
        <w:jc w:val="both"/>
        <w:rPr>
          <w:rFonts w:ascii="Arial" w:hAnsi="Arial" w:cs="Arial"/>
          <w:b/>
          <w:bCs/>
          <w:sz w:val="24"/>
          <w:szCs w:val="24"/>
        </w:rPr>
      </w:pPr>
    </w:p>
    <w:p w14:paraId="064BC02E" w14:textId="7280467B" w:rsidR="007775A8" w:rsidRPr="005F44E8" w:rsidRDefault="007775A8" w:rsidP="007775A8">
      <w:pPr>
        <w:spacing w:line="276" w:lineRule="auto"/>
        <w:jc w:val="both"/>
        <w:rPr>
          <w:rFonts w:ascii="Arial" w:hAnsi="Arial" w:cs="Arial"/>
          <w:sz w:val="24"/>
          <w:szCs w:val="24"/>
        </w:rPr>
      </w:pPr>
      <w:r w:rsidRPr="005F44E8">
        <w:rPr>
          <w:rFonts w:ascii="Arial" w:hAnsi="Arial" w:cs="Arial"/>
          <w:sz w:val="24"/>
          <w:szCs w:val="24"/>
        </w:rPr>
        <w:t xml:space="preserve">De acuerdo con lo discurrido en esta providencia, el despacho considera que es procedente dictar sentencia anticipada en el presente caso, con fundamento en las causales previstas en el artículo 182A, numeral 1º, literales a) y c) del CPACA, adicionado por el artículo 42 de la Ley 2080 de 2021, según los cuales se podrá dictar sentencia antes de la audiencia inicial </w:t>
      </w:r>
      <w:r w:rsidRPr="005F44E8">
        <w:rPr>
          <w:rFonts w:ascii="Arial" w:hAnsi="Arial" w:cs="Arial"/>
          <w:i/>
          <w:iCs/>
          <w:sz w:val="24"/>
          <w:szCs w:val="24"/>
        </w:rPr>
        <w:t>“</w:t>
      </w:r>
      <w:r w:rsidRPr="005F44E8">
        <w:rPr>
          <w:rStyle w:val="normaltextrun"/>
          <w:rFonts w:ascii="Arial" w:hAnsi="Arial" w:cs="Arial"/>
          <w:i/>
          <w:iCs/>
          <w:color w:val="000000"/>
          <w:sz w:val="24"/>
          <w:szCs w:val="24"/>
          <w:shd w:val="clear" w:color="auto" w:fill="FFFFFF"/>
        </w:rPr>
        <w:t>a) Cuando se trate de asuntos de puro derecho” </w:t>
      </w:r>
      <w:r w:rsidRPr="005F44E8">
        <w:rPr>
          <w:rStyle w:val="normaltextrun"/>
          <w:rFonts w:ascii="Arial" w:hAnsi="Arial" w:cs="Arial"/>
          <w:color w:val="000000"/>
          <w:sz w:val="24"/>
          <w:szCs w:val="24"/>
          <w:shd w:val="clear" w:color="auto" w:fill="FFFFFF"/>
        </w:rPr>
        <w:t>y </w:t>
      </w:r>
      <w:r w:rsidRPr="005F44E8">
        <w:rPr>
          <w:rFonts w:ascii="Arial" w:hAnsi="Arial" w:cs="Arial"/>
          <w:i/>
          <w:iCs/>
          <w:sz w:val="24"/>
          <w:szCs w:val="24"/>
        </w:rPr>
        <w:t>“c) Cuando solo se solicite tener como pruebas las documentales aportadas con la demanda y la contestación, y sobre ellas no se hubiese formulado tacha o desconocimiento”.</w:t>
      </w:r>
    </w:p>
    <w:p w14:paraId="2C5E97A1" w14:textId="77777777" w:rsidR="007775A8" w:rsidRPr="005F44E8" w:rsidRDefault="007775A8" w:rsidP="007775A8">
      <w:pPr>
        <w:spacing w:line="276" w:lineRule="auto"/>
        <w:jc w:val="both"/>
        <w:rPr>
          <w:rFonts w:ascii="Arial" w:hAnsi="Arial" w:cs="Arial"/>
          <w:sz w:val="24"/>
          <w:szCs w:val="24"/>
        </w:rPr>
      </w:pPr>
    </w:p>
    <w:p w14:paraId="330F70C7" w14:textId="164C0121" w:rsidR="000648EC" w:rsidRPr="005F44E8" w:rsidRDefault="007775A8" w:rsidP="007775A8">
      <w:pPr>
        <w:spacing w:line="276" w:lineRule="auto"/>
        <w:jc w:val="both"/>
        <w:rPr>
          <w:rFonts w:ascii="Arial" w:hAnsi="Arial" w:cs="Arial"/>
          <w:sz w:val="24"/>
          <w:szCs w:val="24"/>
        </w:rPr>
      </w:pPr>
      <w:r w:rsidRPr="005F44E8">
        <w:rPr>
          <w:rFonts w:ascii="Arial" w:hAnsi="Arial" w:cs="Arial"/>
          <w:sz w:val="24"/>
          <w:szCs w:val="24"/>
        </w:rPr>
        <w:t>Por consiguiente, en acatamiento al dispositivo señalado, una vez quede ejecutoriado este auto, se dispondrá correr traslado de las pruebas allegadas al expediente por el término de tres (3) días</w:t>
      </w:r>
      <w:r w:rsidRPr="005F44E8">
        <w:rPr>
          <w:rFonts w:ascii="Arial" w:hAnsi="Arial" w:cs="Arial"/>
          <w:sz w:val="24"/>
          <w:szCs w:val="24"/>
          <w:vertAlign w:val="superscript"/>
        </w:rPr>
        <w:t>6</w:t>
      </w:r>
      <w:r w:rsidRPr="005F44E8">
        <w:rPr>
          <w:rFonts w:ascii="Arial" w:hAnsi="Arial" w:cs="Arial"/>
          <w:sz w:val="24"/>
          <w:szCs w:val="24"/>
        </w:rPr>
        <w:t>, con el fin de garantizar el derecho de contradicción de los sujetos procesales frente a las pruebas aportadas. Vencido el anterior término, deberá correrse traslado a las partes por el término de diez (10) días para alegar por escrito. En la misma oportunidad, podrá el Ministerio Público presentar concepto sobre la legalidad del acto enjuiciado, si a bien lo tiene. Vencido este último plazo, la Sala dictará sentencia por escrito dentro de los veinte (20) días siguientes, tal como lo ordena el estatuto procesal.</w:t>
      </w:r>
    </w:p>
    <w:p w14:paraId="7CD3FD84" w14:textId="6BB1A96F" w:rsidR="00BC128E" w:rsidRPr="005F44E8" w:rsidRDefault="00BC128E" w:rsidP="007775A8">
      <w:pPr>
        <w:spacing w:line="276" w:lineRule="auto"/>
        <w:jc w:val="both"/>
        <w:rPr>
          <w:rFonts w:ascii="Arial" w:hAnsi="Arial" w:cs="Arial"/>
          <w:sz w:val="24"/>
          <w:szCs w:val="24"/>
        </w:rPr>
      </w:pPr>
    </w:p>
    <w:p w14:paraId="17F46C38" w14:textId="77777777" w:rsidR="000648EC" w:rsidRPr="005F44E8" w:rsidRDefault="000648EC" w:rsidP="000648EC">
      <w:pPr>
        <w:spacing w:line="276" w:lineRule="auto"/>
        <w:jc w:val="both"/>
        <w:rPr>
          <w:rFonts w:ascii="Arial" w:eastAsia="Times New Roman" w:hAnsi="Arial" w:cs="Arial"/>
          <w:sz w:val="24"/>
          <w:szCs w:val="24"/>
          <w:lang w:eastAsia="es-ES"/>
        </w:rPr>
      </w:pPr>
      <w:r w:rsidRPr="005F44E8">
        <w:rPr>
          <w:rFonts w:ascii="Arial" w:eastAsia="Times New Roman" w:hAnsi="Arial" w:cs="Arial"/>
          <w:sz w:val="24"/>
          <w:szCs w:val="24"/>
          <w:lang w:eastAsia="es-ES"/>
        </w:rPr>
        <w:t>En mérito de lo expuesto, el despacho</w:t>
      </w:r>
    </w:p>
    <w:p w14:paraId="16E870D2" w14:textId="474DF7BF" w:rsidR="000648EC" w:rsidRDefault="000648EC" w:rsidP="000648EC">
      <w:pPr>
        <w:spacing w:line="276" w:lineRule="auto"/>
        <w:jc w:val="both"/>
        <w:rPr>
          <w:rFonts w:ascii="Arial" w:eastAsia="Times New Roman" w:hAnsi="Arial" w:cs="Arial"/>
          <w:b/>
          <w:sz w:val="24"/>
          <w:szCs w:val="24"/>
          <w:lang w:eastAsia="es-ES"/>
        </w:rPr>
      </w:pPr>
    </w:p>
    <w:p w14:paraId="15264802" w14:textId="78A54499" w:rsidR="007F4E26" w:rsidRDefault="007F4E26" w:rsidP="000648EC">
      <w:pPr>
        <w:spacing w:line="276" w:lineRule="auto"/>
        <w:jc w:val="both"/>
        <w:rPr>
          <w:rFonts w:ascii="Arial" w:eastAsia="Times New Roman" w:hAnsi="Arial" w:cs="Arial"/>
          <w:b/>
          <w:sz w:val="24"/>
          <w:szCs w:val="24"/>
          <w:lang w:eastAsia="es-ES"/>
        </w:rPr>
      </w:pPr>
    </w:p>
    <w:p w14:paraId="7745938B" w14:textId="433A4657" w:rsidR="007F4E26" w:rsidRDefault="007F4E26" w:rsidP="000648EC">
      <w:pPr>
        <w:spacing w:line="276" w:lineRule="auto"/>
        <w:jc w:val="both"/>
        <w:rPr>
          <w:rFonts w:ascii="Arial" w:eastAsia="Times New Roman" w:hAnsi="Arial" w:cs="Arial"/>
          <w:b/>
          <w:sz w:val="24"/>
          <w:szCs w:val="24"/>
          <w:lang w:eastAsia="es-ES"/>
        </w:rPr>
      </w:pPr>
    </w:p>
    <w:p w14:paraId="2DA94169" w14:textId="77777777" w:rsidR="007F4E26" w:rsidRPr="005F44E8" w:rsidRDefault="007F4E26" w:rsidP="000648EC">
      <w:pPr>
        <w:spacing w:line="276" w:lineRule="auto"/>
        <w:jc w:val="both"/>
        <w:rPr>
          <w:rFonts w:ascii="Arial" w:eastAsia="Times New Roman" w:hAnsi="Arial" w:cs="Arial"/>
          <w:b/>
          <w:sz w:val="24"/>
          <w:szCs w:val="24"/>
          <w:lang w:eastAsia="es-ES"/>
        </w:rPr>
      </w:pPr>
    </w:p>
    <w:p w14:paraId="6E3CDEE9" w14:textId="77777777" w:rsidR="000648EC" w:rsidRPr="005F44E8" w:rsidRDefault="000648EC" w:rsidP="000648EC">
      <w:pPr>
        <w:spacing w:line="276" w:lineRule="auto"/>
        <w:jc w:val="center"/>
        <w:rPr>
          <w:rFonts w:ascii="Arial" w:eastAsia="Times New Roman" w:hAnsi="Arial" w:cs="Arial"/>
          <w:b/>
          <w:sz w:val="24"/>
          <w:szCs w:val="24"/>
          <w:lang w:eastAsia="es-ES"/>
        </w:rPr>
      </w:pPr>
      <w:r w:rsidRPr="005F44E8">
        <w:rPr>
          <w:rFonts w:ascii="Arial" w:eastAsia="Times New Roman" w:hAnsi="Arial" w:cs="Arial"/>
          <w:b/>
          <w:sz w:val="24"/>
          <w:szCs w:val="24"/>
          <w:lang w:eastAsia="es-ES"/>
        </w:rPr>
        <w:t>RESUELVE:</w:t>
      </w:r>
    </w:p>
    <w:p w14:paraId="30407A72" w14:textId="77777777" w:rsidR="000648EC" w:rsidRPr="005F44E8" w:rsidRDefault="000648EC" w:rsidP="000648EC">
      <w:pPr>
        <w:spacing w:line="276" w:lineRule="auto"/>
        <w:jc w:val="both"/>
        <w:rPr>
          <w:rFonts w:ascii="Arial" w:eastAsia="Times New Roman" w:hAnsi="Arial" w:cs="Arial"/>
          <w:sz w:val="24"/>
          <w:szCs w:val="24"/>
          <w:lang w:eastAsia="es-ES"/>
        </w:rPr>
      </w:pPr>
    </w:p>
    <w:p w14:paraId="5B036962" w14:textId="3D779321" w:rsidR="00BC128E" w:rsidRPr="005F44E8" w:rsidRDefault="000648EC" w:rsidP="00BC128E">
      <w:pPr>
        <w:spacing w:line="276" w:lineRule="auto"/>
        <w:jc w:val="both"/>
        <w:rPr>
          <w:rFonts w:ascii="Arial" w:eastAsia="Times New Roman" w:hAnsi="Arial" w:cs="Arial"/>
          <w:sz w:val="24"/>
          <w:szCs w:val="24"/>
          <w:lang w:eastAsia="es-ES"/>
        </w:rPr>
      </w:pPr>
      <w:r w:rsidRPr="005F44E8">
        <w:rPr>
          <w:rFonts w:ascii="Arial" w:eastAsia="Times New Roman" w:hAnsi="Arial" w:cs="Arial"/>
          <w:b/>
          <w:sz w:val="24"/>
          <w:szCs w:val="24"/>
          <w:lang w:eastAsia="es-ES"/>
        </w:rPr>
        <w:t>PRIMERO</w:t>
      </w:r>
      <w:r w:rsidRPr="005F44E8">
        <w:rPr>
          <w:rFonts w:ascii="Arial" w:eastAsia="Times New Roman" w:hAnsi="Arial" w:cs="Arial"/>
          <w:sz w:val="24"/>
          <w:szCs w:val="24"/>
          <w:lang w:eastAsia="es-ES"/>
        </w:rPr>
        <w:t xml:space="preserve">: </w:t>
      </w:r>
      <w:r w:rsidR="00BC128E" w:rsidRPr="005F44E8">
        <w:rPr>
          <w:rFonts w:ascii="Arial" w:eastAsia="Times New Roman" w:hAnsi="Arial" w:cs="Arial"/>
          <w:sz w:val="24"/>
          <w:szCs w:val="24"/>
          <w:lang w:eastAsia="es-ES"/>
        </w:rPr>
        <w:t xml:space="preserve">Dar aplicación en el presente caso a la figura de la sentencia anticipada, conforme a lo establecido en el </w:t>
      </w:r>
      <w:r w:rsidR="00BC128E" w:rsidRPr="005F44E8">
        <w:rPr>
          <w:rFonts w:ascii="Arial" w:hAnsi="Arial" w:cs="Arial"/>
          <w:sz w:val="24"/>
          <w:szCs w:val="24"/>
        </w:rPr>
        <w:t>artículo 182A, numeral 1º, literales a) y c) del CPACA, adicionado por el artículo 42 de la Ley 2080 de 2021.</w:t>
      </w:r>
    </w:p>
    <w:p w14:paraId="661FCEF1" w14:textId="2CEEB167" w:rsidR="000648EC" w:rsidRPr="005F44E8" w:rsidRDefault="000648EC" w:rsidP="000648EC">
      <w:pPr>
        <w:spacing w:line="276" w:lineRule="auto"/>
        <w:jc w:val="both"/>
        <w:rPr>
          <w:rFonts w:ascii="Arial" w:eastAsia="Times New Roman" w:hAnsi="Arial" w:cs="Arial"/>
          <w:sz w:val="24"/>
          <w:szCs w:val="24"/>
          <w:lang w:eastAsia="es-ES"/>
        </w:rPr>
      </w:pPr>
    </w:p>
    <w:p w14:paraId="600A78B2" w14:textId="632F1510" w:rsidR="000114C7" w:rsidRPr="005F44E8" w:rsidRDefault="000648EC" w:rsidP="000114C7">
      <w:pPr>
        <w:spacing w:line="276" w:lineRule="auto"/>
        <w:jc w:val="both"/>
        <w:rPr>
          <w:rFonts w:ascii="Arial" w:eastAsia="Times New Roman" w:hAnsi="Arial" w:cs="Arial"/>
          <w:sz w:val="24"/>
          <w:szCs w:val="24"/>
          <w:lang w:eastAsia="es-ES"/>
        </w:rPr>
      </w:pPr>
      <w:r w:rsidRPr="005F44E8">
        <w:rPr>
          <w:rFonts w:ascii="Arial" w:hAnsi="Arial" w:cs="Arial"/>
          <w:b/>
          <w:bCs/>
          <w:sz w:val="24"/>
          <w:szCs w:val="24"/>
          <w:lang w:val="es-ES_tradnl"/>
        </w:rPr>
        <w:t>SEGUNDO:</w:t>
      </w:r>
      <w:r w:rsidRPr="005F44E8">
        <w:rPr>
          <w:rFonts w:ascii="Arial" w:eastAsia="Times New Roman" w:hAnsi="Arial" w:cs="Arial"/>
          <w:sz w:val="24"/>
          <w:szCs w:val="24"/>
          <w:lang w:eastAsia="es-ES"/>
        </w:rPr>
        <w:t xml:space="preserve"> </w:t>
      </w:r>
      <w:r w:rsidR="00BC128E" w:rsidRPr="005F44E8">
        <w:rPr>
          <w:rFonts w:ascii="Arial" w:eastAsia="Times New Roman" w:hAnsi="Arial" w:cs="Arial"/>
          <w:sz w:val="24"/>
          <w:szCs w:val="24"/>
          <w:lang w:eastAsia="es-ES"/>
        </w:rPr>
        <w:t>Tener como medios de prueba los documentos allegados por la parte actora, que fueron relacionados en la parte considerativa de esta providencia.</w:t>
      </w:r>
    </w:p>
    <w:p w14:paraId="2047E287" w14:textId="77777777" w:rsidR="006962D3" w:rsidRPr="005F44E8" w:rsidRDefault="006962D3" w:rsidP="000114C7">
      <w:pPr>
        <w:spacing w:line="276" w:lineRule="auto"/>
        <w:jc w:val="both"/>
        <w:rPr>
          <w:rFonts w:ascii="Arial" w:hAnsi="Arial" w:cs="Arial"/>
          <w:sz w:val="24"/>
          <w:szCs w:val="24"/>
        </w:rPr>
      </w:pPr>
    </w:p>
    <w:p w14:paraId="3E200E59" w14:textId="4CA99307" w:rsidR="000648EC" w:rsidRPr="005F44E8" w:rsidRDefault="000648EC" w:rsidP="000114C7">
      <w:pPr>
        <w:spacing w:line="276" w:lineRule="auto"/>
        <w:jc w:val="both"/>
        <w:rPr>
          <w:rFonts w:ascii="Arial" w:hAnsi="Arial" w:cs="Arial"/>
          <w:sz w:val="24"/>
          <w:szCs w:val="24"/>
        </w:rPr>
      </w:pPr>
      <w:r w:rsidRPr="005F44E8">
        <w:rPr>
          <w:rFonts w:ascii="Arial" w:eastAsia="Times New Roman" w:hAnsi="Arial" w:cs="Arial"/>
          <w:b/>
          <w:sz w:val="24"/>
          <w:szCs w:val="24"/>
          <w:lang w:eastAsia="es-ES"/>
        </w:rPr>
        <w:t>TERCERO</w:t>
      </w:r>
      <w:r w:rsidRPr="005F44E8">
        <w:rPr>
          <w:rFonts w:ascii="Arial" w:hAnsi="Arial" w:cs="Arial"/>
          <w:b/>
          <w:bCs/>
          <w:sz w:val="24"/>
          <w:szCs w:val="24"/>
          <w:lang w:val="es-ES_tradnl"/>
        </w:rPr>
        <w:t>:</w:t>
      </w:r>
      <w:r w:rsidRPr="005F44E8">
        <w:rPr>
          <w:rFonts w:ascii="Arial" w:eastAsia="Times New Roman" w:hAnsi="Arial" w:cs="Arial"/>
          <w:sz w:val="24"/>
          <w:szCs w:val="24"/>
          <w:lang w:eastAsia="es-ES"/>
        </w:rPr>
        <w:t xml:space="preserve">  </w:t>
      </w:r>
      <w:r w:rsidRPr="005F44E8">
        <w:rPr>
          <w:rFonts w:ascii="Arial" w:hAnsi="Arial" w:cs="Arial"/>
          <w:sz w:val="24"/>
          <w:szCs w:val="24"/>
        </w:rPr>
        <w:t>Ejecutoriada esta providencia, c</w:t>
      </w:r>
      <w:r w:rsidRPr="005F44E8">
        <w:rPr>
          <w:rFonts w:ascii="Arial" w:eastAsia="Times New Roman" w:hAnsi="Arial" w:cs="Arial"/>
          <w:sz w:val="24"/>
          <w:szCs w:val="24"/>
          <w:lang w:eastAsia="es-ES"/>
        </w:rPr>
        <w:t xml:space="preserve">órrase </w:t>
      </w:r>
      <w:r w:rsidRPr="005F44E8">
        <w:rPr>
          <w:rFonts w:ascii="Arial" w:hAnsi="Arial" w:cs="Arial"/>
          <w:sz w:val="24"/>
          <w:szCs w:val="24"/>
        </w:rPr>
        <w:t xml:space="preserve">traslado de las pruebas allegadas al proceso por el término de tres (3) días y vencido este plazo, descórrase </w:t>
      </w:r>
      <w:r w:rsidRPr="005F44E8">
        <w:rPr>
          <w:rFonts w:ascii="Arial" w:hAnsi="Arial" w:cs="Arial"/>
          <w:sz w:val="24"/>
          <w:szCs w:val="24"/>
        </w:rPr>
        <w:lastRenderedPageBreak/>
        <w:t xml:space="preserve">el traslado de diez (10) días </w:t>
      </w:r>
      <w:r w:rsidRPr="005F44E8">
        <w:rPr>
          <w:rFonts w:ascii="Arial" w:eastAsia="Times New Roman" w:hAnsi="Arial" w:cs="Arial"/>
          <w:sz w:val="24"/>
          <w:szCs w:val="24"/>
          <w:lang w:eastAsia="es-ES"/>
        </w:rPr>
        <w:t xml:space="preserve">para que las partes presenten sus alegatos por escrito y el Ministerio Público </w:t>
      </w:r>
      <w:r w:rsidRPr="005F44E8">
        <w:rPr>
          <w:rFonts w:ascii="Arial" w:eastAsia="Times New Roman" w:hAnsi="Arial" w:cs="Arial"/>
          <w:sz w:val="24"/>
          <w:szCs w:val="24"/>
          <w:lang w:val="es-ES_tradnl" w:eastAsia="es-ES"/>
        </w:rPr>
        <w:t>rinda su concepto</w:t>
      </w:r>
      <w:r w:rsidRPr="005F44E8">
        <w:rPr>
          <w:rFonts w:ascii="Arial" w:hAnsi="Arial" w:cs="Arial"/>
          <w:sz w:val="24"/>
          <w:szCs w:val="24"/>
        </w:rPr>
        <w:t>.</w:t>
      </w:r>
    </w:p>
    <w:p w14:paraId="4E145A7C" w14:textId="77777777" w:rsidR="000648EC" w:rsidRPr="005F44E8" w:rsidRDefault="000648EC" w:rsidP="000648EC">
      <w:pPr>
        <w:spacing w:line="276" w:lineRule="auto"/>
        <w:jc w:val="both"/>
        <w:rPr>
          <w:rFonts w:ascii="Arial" w:eastAsia="Times New Roman" w:hAnsi="Arial" w:cs="Arial"/>
          <w:b/>
          <w:sz w:val="24"/>
          <w:szCs w:val="24"/>
          <w:lang w:eastAsia="es-ES"/>
        </w:rPr>
      </w:pPr>
    </w:p>
    <w:p w14:paraId="7DE02275" w14:textId="2C76CA10" w:rsidR="000648EC" w:rsidRPr="005F44E8" w:rsidRDefault="00EF3323" w:rsidP="000648EC">
      <w:pPr>
        <w:spacing w:line="276" w:lineRule="auto"/>
        <w:jc w:val="both"/>
        <w:rPr>
          <w:rFonts w:ascii="Arial" w:hAnsi="Arial" w:cs="Arial"/>
          <w:b/>
          <w:sz w:val="24"/>
          <w:szCs w:val="24"/>
        </w:rPr>
      </w:pPr>
      <w:r>
        <w:rPr>
          <w:rFonts w:ascii="Arial" w:eastAsia="Times New Roman" w:hAnsi="Arial" w:cs="Arial"/>
          <w:b/>
          <w:sz w:val="24"/>
          <w:szCs w:val="24"/>
          <w:lang w:eastAsia="es-ES"/>
        </w:rPr>
        <w:t>CUARTO</w:t>
      </w:r>
      <w:bookmarkStart w:id="1" w:name="_GoBack"/>
      <w:bookmarkEnd w:id="1"/>
      <w:r w:rsidR="000648EC" w:rsidRPr="005F44E8">
        <w:rPr>
          <w:rFonts w:ascii="Arial" w:eastAsia="Times New Roman" w:hAnsi="Arial" w:cs="Arial"/>
          <w:b/>
          <w:sz w:val="24"/>
          <w:szCs w:val="24"/>
          <w:lang w:eastAsia="es-ES"/>
        </w:rPr>
        <w:t xml:space="preserve">. - </w:t>
      </w:r>
      <w:r w:rsidR="000648EC" w:rsidRPr="005F44E8">
        <w:rPr>
          <w:rFonts w:ascii="Arial" w:eastAsia="Times New Roman" w:hAnsi="Arial" w:cs="Arial"/>
          <w:sz w:val="24"/>
          <w:szCs w:val="24"/>
          <w:lang w:eastAsia="es-ES"/>
        </w:rPr>
        <w:t>Una vez surtido el trámite correspondiente, vuelva el expediente al despacho para lo pertinente.</w:t>
      </w:r>
      <w:r w:rsidR="000648EC" w:rsidRPr="005F44E8">
        <w:rPr>
          <w:noProof/>
          <w:lang w:val="en-US"/>
        </w:rPr>
        <w:drawing>
          <wp:anchor distT="0" distB="0" distL="114300" distR="114300" simplePos="0" relativeHeight="251666432" behindDoc="1" locked="0" layoutInCell="1" allowOverlap="1" wp14:anchorId="662D7005" wp14:editId="782F4C80">
            <wp:simplePos x="0" y="0"/>
            <wp:positionH relativeFrom="column">
              <wp:posOffset>4394835</wp:posOffset>
            </wp:positionH>
            <wp:positionV relativeFrom="paragraph">
              <wp:posOffset>10139045</wp:posOffset>
            </wp:positionV>
            <wp:extent cx="2201545" cy="923290"/>
            <wp:effectExtent l="0" t="0" r="8255" b="0"/>
            <wp:wrapNone/>
            <wp:docPr id="4" name="Imagen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1545" cy="92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9A5E3" w14:textId="77777777" w:rsidR="000648EC" w:rsidRPr="005F44E8" w:rsidRDefault="000648EC" w:rsidP="000648EC">
      <w:pPr>
        <w:spacing w:line="276" w:lineRule="auto"/>
        <w:jc w:val="both"/>
        <w:rPr>
          <w:rFonts w:ascii="Arial" w:eastAsia="Times New Roman" w:hAnsi="Arial" w:cs="Arial"/>
          <w:sz w:val="24"/>
          <w:szCs w:val="24"/>
          <w:lang w:eastAsia="es-ES"/>
        </w:rPr>
      </w:pPr>
    </w:p>
    <w:p w14:paraId="699DAC29" w14:textId="77777777" w:rsidR="000648EC" w:rsidRPr="005F44E8" w:rsidRDefault="000648EC" w:rsidP="000648EC">
      <w:pPr>
        <w:jc w:val="both"/>
        <w:rPr>
          <w:rFonts w:ascii="Arial" w:hAnsi="Arial"/>
          <w:b/>
          <w:sz w:val="24"/>
          <w:szCs w:val="24"/>
        </w:rPr>
      </w:pPr>
      <w:r w:rsidRPr="005F44E8">
        <w:rPr>
          <w:rFonts w:ascii="Arial" w:hAnsi="Arial"/>
          <w:b/>
          <w:sz w:val="24"/>
          <w:szCs w:val="24"/>
        </w:rPr>
        <w:t>NOTIFÍQUESE Y CÚMPLASE</w:t>
      </w:r>
    </w:p>
    <w:p w14:paraId="60E291A9" w14:textId="77777777" w:rsidR="000648EC" w:rsidRPr="005F44E8" w:rsidRDefault="000648EC" w:rsidP="000648EC">
      <w:pPr>
        <w:jc w:val="both"/>
        <w:rPr>
          <w:rFonts w:ascii="Arial" w:hAnsi="Arial" w:cs="Arial"/>
          <w:b/>
          <w:sz w:val="24"/>
          <w:szCs w:val="24"/>
        </w:rPr>
      </w:pPr>
    </w:p>
    <w:p w14:paraId="1420A1CF" w14:textId="77777777" w:rsidR="007F4E26" w:rsidRPr="005F44E8" w:rsidRDefault="007F4E26" w:rsidP="000648EC">
      <w:pPr>
        <w:jc w:val="both"/>
        <w:rPr>
          <w:rFonts w:ascii="Arial" w:hAnsi="Arial" w:cs="Arial"/>
          <w:b/>
          <w:sz w:val="24"/>
          <w:szCs w:val="24"/>
        </w:rPr>
      </w:pPr>
    </w:p>
    <w:p w14:paraId="1A6074F8" w14:textId="77777777" w:rsidR="000648EC" w:rsidRPr="005F44E8" w:rsidRDefault="000648EC" w:rsidP="000648EC">
      <w:pPr>
        <w:jc w:val="both"/>
        <w:rPr>
          <w:rFonts w:ascii="Arial" w:hAnsi="Arial" w:cs="Arial"/>
          <w:b/>
          <w:sz w:val="24"/>
          <w:szCs w:val="24"/>
        </w:rPr>
      </w:pPr>
    </w:p>
    <w:p w14:paraId="01740851" w14:textId="13DC007D" w:rsidR="000648EC" w:rsidRPr="005F44E8" w:rsidRDefault="00DF3D9D" w:rsidP="00DF3D9D">
      <w:pPr>
        <w:spacing w:line="276" w:lineRule="auto"/>
        <w:jc w:val="center"/>
        <w:rPr>
          <w:rFonts w:ascii="Arial" w:hAnsi="Arial" w:cs="Arial"/>
          <w:b/>
          <w:sz w:val="24"/>
          <w:szCs w:val="24"/>
        </w:rPr>
      </w:pPr>
      <w:proofErr w:type="spellStart"/>
      <w:r>
        <w:rPr>
          <w:rFonts w:ascii="Arial" w:hAnsi="Arial" w:cs="Arial"/>
          <w:b/>
          <w:sz w:val="24"/>
          <w:szCs w:val="24"/>
        </w:rPr>
        <w:t>xxxxxxxxxxxxxxxxxxxxxxxxxxx</w:t>
      </w:r>
      <w:proofErr w:type="spellEnd"/>
    </w:p>
    <w:p w14:paraId="4AD5912A" w14:textId="4DDEB7BF" w:rsidR="000648EC" w:rsidRDefault="000648EC" w:rsidP="000648EC">
      <w:pPr>
        <w:spacing w:line="276" w:lineRule="auto"/>
        <w:jc w:val="center"/>
        <w:rPr>
          <w:rFonts w:ascii="Arial" w:eastAsia="Times New Roman" w:hAnsi="Arial" w:cs="Arial"/>
          <w:b/>
          <w:bCs/>
          <w:sz w:val="24"/>
          <w:szCs w:val="24"/>
          <w:lang w:val="es-ES_tradnl" w:eastAsia="es-ES"/>
        </w:rPr>
      </w:pPr>
      <w:r w:rsidRPr="005F44E8">
        <w:rPr>
          <w:noProof/>
          <w:lang w:val="en-US"/>
        </w:rPr>
        <w:drawing>
          <wp:anchor distT="0" distB="0" distL="114300" distR="114300" simplePos="0" relativeHeight="251665408" behindDoc="1" locked="0" layoutInCell="1" allowOverlap="1" wp14:anchorId="4996BECA" wp14:editId="372221A0">
            <wp:simplePos x="0" y="0"/>
            <wp:positionH relativeFrom="column">
              <wp:posOffset>4966970</wp:posOffset>
            </wp:positionH>
            <wp:positionV relativeFrom="paragraph">
              <wp:posOffset>10694670</wp:posOffset>
            </wp:positionV>
            <wp:extent cx="2201545" cy="923290"/>
            <wp:effectExtent l="0" t="0" r="8255" b="0"/>
            <wp:wrapNone/>
            <wp:docPr id="5" name="Imagen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4E8">
        <w:rPr>
          <w:noProof/>
          <w:lang w:val="en-US"/>
        </w:rPr>
        <w:drawing>
          <wp:anchor distT="0" distB="0" distL="114300" distR="114300" simplePos="0" relativeHeight="251664384" behindDoc="1" locked="0" layoutInCell="1" allowOverlap="1" wp14:anchorId="3370D396" wp14:editId="0A7200E1">
            <wp:simplePos x="0" y="0"/>
            <wp:positionH relativeFrom="column">
              <wp:posOffset>4966970</wp:posOffset>
            </wp:positionH>
            <wp:positionV relativeFrom="paragraph">
              <wp:posOffset>10694670</wp:posOffset>
            </wp:positionV>
            <wp:extent cx="2201545" cy="923290"/>
            <wp:effectExtent l="0" t="0" r="8255" b="0"/>
            <wp:wrapNone/>
            <wp:docPr id="8" name="Imagen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4E8">
        <w:rPr>
          <w:noProof/>
          <w:lang w:val="en-US"/>
        </w:rPr>
        <w:drawing>
          <wp:anchor distT="0" distB="0" distL="114300" distR="114300" simplePos="0" relativeHeight="251663360" behindDoc="1" locked="0" layoutInCell="1" allowOverlap="1" wp14:anchorId="529873FB" wp14:editId="3DA63F86">
            <wp:simplePos x="0" y="0"/>
            <wp:positionH relativeFrom="column">
              <wp:posOffset>4966970</wp:posOffset>
            </wp:positionH>
            <wp:positionV relativeFrom="paragraph">
              <wp:posOffset>10694670</wp:posOffset>
            </wp:positionV>
            <wp:extent cx="2201545" cy="923290"/>
            <wp:effectExtent l="0" t="0" r="8255" b="0"/>
            <wp:wrapNone/>
            <wp:docPr id="9" name="Imagen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923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4E8">
        <w:rPr>
          <w:rFonts w:ascii="Arial" w:eastAsia="Times New Roman" w:hAnsi="Arial" w:cs="Arial"/>
          <w:b/>
          <w:bCs/>
          <w:sz w:val="24"/>
          <w:szCs w:val="24"/>
          <w:lang w:val="es-ES_tradnl" w:eastAsia="es-ES"/>
        </w:rPr>
        <w:t>Magistrad</w:t>
      </w:r>
      <w:r w:rsidR="00BC128E" w:rsidRPr="005F44E8">
        <w:rPr>
          <w:rFonts w:ascii="Arial" w:eastAsia="Times New Roman" w:hAnsi="Arial" w:cs="Arial"/>
          <w:b/>
          <w:bCs/>
          <w:sz w:val="24"/>
          <w:szCs w:val="24"/>
          <w:lang w:val="es-ES_tradnl" w:eastAsia="es-ES"/>
        </w:rPr>
        <w:t>o</w:t>
      </w:r>
      <w:bookmarkEnd w:id="0"/>
    </w:p>
    <w:p w14:paraId="743BEAA2" w14:textId="39A5374C" w:rsidR="007F4E26" w:rsidRDefault="007F4E26" w:rsidP="000648EC">
      <w:pPr>
        <w:spacing w:line="276" w:lineRule="auto"/>
        <w:jc w:val="center"/>
        <w:rPr>
          <w:rFonts w:ascii="Arial" w:eastAsia="Times New Roman" w:hAnsi="Arial" w:cs="Arial"/>
          <w:b/>
          <w:bCs/>
          <w:sz w:val="24"/>
          <w:szCs w:val="24"/>
          <w:lang w:val="es-ES_tradnl" w:eastAsia="es-ES"/>
        </w:rPr>
      </w:pPr>
    </w:p>
    <w:p w14:paraId="4FD1F685" w14:textId="77777777" w:rsidR="007F4E26" w:rsidRPr="00DB4ACF" w:rsidRDefault="007F4E26" w:rsidP="007F4E26">
      <w:pPr>
        <w:shd w:val="clear" w:color="auto" w:fill="FFFFFF"/>
        <w:spacing w:line="276" w:lineRule="auto"/>
        <w:jc w:val="center"/>
        <w:textAlignment w:val="baseline"/>
        <w:rPr>
          <w:rFonts w:ascii="Arial" w:hAnsi="Arial" w:cs="Arial"/>
          <w:sz w:val="20"/>
          <w:szCs w:val="20"/>
          <w:lang w:eastAsia="es-CO"/>
        </w:rPr>
      </w:pPr>
      <w:r w:rsidRPr="006B0B9F">
        <w:rPr>
          <w:rFonts w:ascii="Arial" w:hAnsi="Arial" w:cs="Arial"/>
          <w:sz w:val="20"/>
          <w:szCs w:val="20"/>
          <w:lang w:eastAsia="es-CO"/>
        </w:rPr>
        <w:t>“Este documento fue firmado electrónicamente. Usted puede consultar la providencia oficial con el número de radicación en http://relatoria.consejodeestado.gov.co:8081”</w:t>
      </w:r>
    </w:p>
    <w:p w14:paraId="12472E90" w14:textId="77777777" w:rsidR="007F4E26" w:rsidRPr="007F4E26" w:rsidRDefault="007F4E26" w:rsidP="000648EC">
      <w:pPr>
        <w:spacing w:line="276" w:lineRule="auto"/>
        <w:jc w:val="center"/>
        <w:rPr>
          <w:rFonts w:ascii="Arial" w:eastAsia="Times New Roman" w:hAnsi="Arial" w:cs="Arial"/>
          <w:b/>
          <w:bCs/>
          <w:sz w:val="24"/>
          <w:szCs w:val="24"/>
          <w:lang w:eastAsia="es-ES"/>
        </w:rPr>
      </w:pPr>
    </w:p>
    <w:sectPr w:rsidR="007F4E26" w:rsidRPr="007F4E26" w:rsidSect="00F41ECB">
      <w:headerReference w:type="default" r:id="rId10"/>
      <w:footerReference w:type="default" r:id="rId11"/>
      <w:pgSz w:w="12242" w:h="18722" w:code="14"/>
      <w:pgMar w:top="2268" w:right="1701" w:bottom="1701" w:left="1701" w:header="680" w:footer="5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D7AB1" w14:textId="77777777" w:rsidR="00A30997" w:rsidRDefault="00A30997" w:rsidP="000648EC">
      <w:r>
        <w:separator/>
      </w:r>
    </w:p>
  </w:endnote>
  <w:endnote w:type="continuationSeparator" w:id="0">
    <w:p w14:paraId="51BD3C3A" w14:textId="77777777" w:rsidR="00A30997" w:rsidRDefault="00A30997" w:rsidP="0006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1E834" w14:textId="77777777" w:rsidR="00BD1974" w:rsidRPr="00373A5D" w:rsidRDefault="00F9331D" w:rsidP="00892A62">
    <w:pPr>
      <w:pStyle w:val="Piedepgina"/>
      <w:rPr>
        <w:rFonts w:ascii="Verdana" w:hAnsi="Verdana"/>
        <w:color w:val="767171"/>
        <w:sz w:val="20"/>
        <w:szCs w:val="20"/>
      </w:rPr>
    </w:pPr>
    <w:r w:rsidRPr="00373A5D">
      <w:rPr>
        <w:rFonts w:ascii="Verdana" w:hAnsi="Verdana"/>
      </w:rPr>
      <w:fldChar w:fldCharType="begin"/>
    </w:r>
    <w:r w:rsidRPr="00373A5D">
      <w:rPr>
        <w:rFonts w:ascii="Verdana" w:hAnsi="Verdana"/>
      </w:rPr>
      <w:instrText xml:space="preserve"> INCLUDEPICTURE "https://acuameunier.com/wp-content/uploads/2014/11/icontec-iqnet.png" \* MERGEFORMATINET </w:instrText>
    </w:r>
    <w:r w:rsidRPr="00373A5D">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"https://acuameunier.com/wp-content/uploads/2014/11/icontec-iqnet.png" \* MERGEFORMATINET </w:instrText>
    </w:r>
    <w:r>
      <w:rPr>
        <w:rFonts w:ascii="Verdana" w:hAnsi="Verdana"/>
      </w:rPr>
      <w:fldChar w:fldCharType="separate"/>
    </w:r>
    <w:r w:rsidR="00A05BF0">
      <w:rPr>
        <w:rFonts w:ascii="Verdana" w:hAnsi="Verdana"/>
      </w:rPr>
      <w:fldChar w:fldCharType="begin"/>
    </w:r>
    <w:r w:rsidR="00A05BF0">
      <w:rPr>
        <w:rFonts w:ascii="Verdana" w:hAnsi="Verdana"/>
      </w:rPr>
      <w:instrText xml:space="preserve"> INCLUDEPICTURE  "https://acuameunier.com/wp-content/uploads/2014/11/icontec-iqnet.png" \* MERGEFORMATINET </w:instrText>
    </w:r>
    <w:r w:rsidR="00A05BF0">
      <w:rPr>
        <w:rFonts w:ascii="Verdana" w:hAnsi="Verdana"/>
      </w:rPr>
      <w:fldChar w:fldCharType="separate"/>
    </w:r>
    <w:r w:rsidR="00B47F32">
      <w:rPr>
        <w:rFonts w:ascii="Verdana" w:hAnsi="Verdana"/>
      </w:rPr>
      <w:fldChar w:fldCharType="begin"/>
    </w:r>
    <w:r w:rsidR="00B47F32">
      <w:rPr>
        <w:rFonts w:ascii="Verdana" w:hAnsi="Verdana"/>
      </w:rPr>
      <w:instrText xml:space="preserve"> INCLUDEPICTURE  "https://acuameunier.com/wp-content/uploads/2014/11/icontec-iqnet.png" \* MERGEFORMATINET </w:instrText>
    </w:r>
    <w:r w:rsidR="00B47F32">
      <w:rPr>
        <w:rFonts w:ascii="Verdana" w:hAnsi="Verdana"/>
      </w:rPr>
      <w:fldChar w:fldCharType="separate"/>
    </w:r>
    <w:r w:rsidR="00065819">
      <w:rPr>
        <w:rFonts w:ascii="Verdana" w:hAnsi="Verdana"/>
      </w:rPr>
      <w:fldChar w:fldCharType="begin"/>
    </w:r>
    <w:r w:rsidR="00065819">
      <w:rPr>
        <w:rFonts w:ascii="Verdana" w:hAnsi="Verdana"/>
      </w:rPr>
      <w:instrText xml:space="preserve"> INCLUDEPICTURE  "https://acuameunier.com/wp-content/uploads/2014/11/icontec-iqnet.png" \* MERGEFORMATINET </w:instrText>
    </w:r>
    <w:r w:rsidR="00065819">
      <w:rPr>
        <w:rFonts w:ascii="Verdana" w:hAnsi="Verdana"/>
      </w:rPr>
      <w:fldChar w:fldCharType="separate"/>
    </w:r>
    <w:r w:rsidR="00A30997">
      <w:rPr>
        <w:rFonts w:ascii="Verdana" w:hAnsi="Verdana"/>
      </w:rPr>
      <w:fldChar w:fldCharType="begin"/>
    </w:r>
    <w:r w:rsidR="00A30997">
      <w:rPr>
        <w:rFonts w:ascii="Verdana" w:hAnsi="Verdana"/>
      </w:rPr>
      <w:instrText xml:space="preserve"> </w:instrText>
    </w:r>
    <w:r w:rsidR="00A30997">
      <w:rPr>
        <w:rFonts w:ascii="Verdana" w:hAnsi="Verdana"/>
      </w:rPr>
      <w:instrText>INCLUDEPICTURE  "https://acuameunier.com/wp-content/uploads/2014/11/icontec-iqnet.png" \* MERGEFORMATINET</w:instrText>
    </w:r>
    <w:r w:rsidR="00A30997">
      <w:rPr>
        <w:rFonts w:ascii="Verdana" w:hAnsi="Verdana"/>
      </w:rPr>
      <w:instrText xml:space="preserve"> </w:instrText>
    </w:r>
    <w:r w:rsidR="00A30997">
      <w:rPr>
        <w:rFonts w:ascii="Verdana" w:hAnsi="Verdana"/>
      </w:rPr>
      <w:fldChar w:fldCharType="separate"/>
    </w:r>
    <w:r w:rsidR="00A30997">
      <w:rPr>
        <w:rFonts w:ascii="Verdana" w:hAnsi="Verdana"/>
      </w:rPr>
      <w:pict w14:anchorId="6D8BC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5pt;height:51.45pt">
          <v:imagedata r:id="rId1" r:href="rId2"/>
        </v:shape>
      </w:pict>
    </w:r>
    <w:r w:rsidR="00A30997">
      <w:rPr>
        <w:rFonts w:ascii="Verdana" w:hAnsi="Verdana"/>
      </w:rPr>
      <w:fldChar w:fldCharType="end"/>
    </w:r>
    <w:r w:rsidR="00065819">
      <w:rPr>
        <w:rFonts w:ascii="Verdana" w:hAnsi="Verdana"/>
      </w:rPr>
      <w:fldChar w:fldCharType="end"/>
    </w:r>
    <w:r w:rsidR="00B47F32">
      <w:rPr>
        <w:rFonts w:ascii="Verdana" w:hAnsi="Verdana"/>
      </w:rPr>
      <w:fldChar w:fldCharType="end"/>
    </w:r>
    <w:r w:rsidR="00A05BF0">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sidRPr="00373A5D">
      <w:rPr>
        <w:rFonts w:ascii="Verdana" w:hAnsi="Verdana"/>
      </w:rPr>
      <w:fldChar w:fldCharType="end"/>
    </w:r>
    <w:r w:rsidRPr="00373A5D">
      <w:rPr>
        <w:rFonts w:ascii="Verdana" w:hAnsi="Verdana"/>
        <w:color w:val="767171"/>
        <w:sz w:val="20"/>
        <w:szCs w:val="20"/>
      </w:rPr>
      <w:t>Calle 12 No. 7-65 – Tel: (57-1) 350-6700 – Bogotá D.C. – Colombia</w:t>
    </w:r>
  </w:p>
  <w:p w14:paraId="7D55E36F" w14:textId="77777777" w:rsidR="00BD1974" w:rsidRPr="00373A5D" w:rsidRDefault="00F9331D" w:rsidP="00892A62">
    <w:pPr>
      <w:pStyle w:val="Piedepgina"/>
      <w:jc w:val="center"/>
      <w:rPr>
        <w:rFonts w:ascii="Verdana" w:hAnsi="Verdana"/>
        <w:color w:val="767171"/>
        <w:sz w:val="20"/>
        <w:szCs w:val="20"/>
      </w:rPr>
    </w:pPr>
    <w:r w:rsidRPr="00373A5D">
      <w:rPr>
        <w:rFonts w:ascii="Verdana" w:hAnsi="Verdana"/>
        <w:color w:val="767171"/>
        <w:sz w:val="20"/>
        <w:szCs w:val="20"/>
      </w:rPr>
      <w:t>www.consejodeestado.gov.co</w:t>
    </w:r>
  </w:p>
  <w:p w14:paraId="630323A4" w14:textId="3250A0F6" w:rsidR="00BD1974" w:rsidRPr="00373A5D" w:rsidRDefault="00F9331D" w:rsidP="00892A62">
    <w:pPr>
      <w:pStyle w:val="Piedepgina"/>
      <w:jc w:val="right"/>
      <w:rPr>
        <w:rFonts w:ascii="Verdana" w:hAnsi="Verdana"/>
        <w:color w:val="767171"/>
        <w:sz w:val="20"/>
        <w:szCs w:val="20"/>
      </w:rPr>
    </w:pPr>
    <w:r w:rsidRPr="00373A5D">
      <w:rPr>
        <w:rFonts w:ascii="Verdana" w:hAnsi="Verdana"/>
        <w:color w:val="767171"/>
        <w:sz w:val="20"/>
        <w:szCs w:val="20"/>
      </w:rPr>
      <w:fldChar w:fldCharType="begin"/>
    </w:r>
    <w:r w:rsidRPr="00373A5D">
      <w:rPr>
        <w:rFonts w:ascii="Verdana" w:hAnsi="Verdana"/>
        <w:color w:val="767171"/>
        <w:sz w:val="20"/>
        <w:szCs w:val="20"/>
      </w:rPr>
      <w:instrText xml:space="preserve"> PAGE  \* Arabic  \* MERGEFORMAT </w:instrText>
    </w:r>
    <w:r w:rsidRPr="00373A5D">
      <w:rPr>
        <w:rFonts w:ascii="Verdana" w:hAnsi="Verdana"/>
        <w:color w:val="767171"/>
        <w:sz w:val="20"/>
        <w:szCs w:val="20"/>
      </w:rPr>
      <w:fldChar w:fldCharType="separate"/>
    </w:r>
    <w:r w:rsidR="00EF3323">
      <w:rPr>
        <w:rFonts w:ascii="Verdana" w:hAnsi="Verdana"/>
        <w:noProof/>
        <w:color w:val="767171"/>
        <w:sz w:val="20"/>
        <w:szCs w:val="20"/>
      </w:rPr>
      <w:t>8</w:t>
    </w:r>
    <w:r w:rsidRPr="00373A5D">
      <w:rPr>
        <w:rFonts w:ascii="Verdana" w:hAnsi="Verdana"/>
        <w:color w:val="76717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16D29" w14:textId="77777777" w:rsidR="00A30997" w:rsidRDefault="00A30997" w:rsidP="000648EC">
      <w:r>
        <w:separator/>
      </w:r>
    </w:p>
  </w:footnote>
  <w:footnote w:type="continuationSeparator" w:id="0">
    <w:p w14:paraId="48A4269F" w14:textId="77777777" w:rsidR="00A30997" w:rsidRDefault="00A30997" w:rsidP="000648EC">
      <w:r>
        <w:continuationSeparator/>
      </w:r>
    </w:p>
  </w:footnote>
  <w:footnote w:id="1">
    <w:p w14:paraId="059A19A2" w14:textId="77777777" w:rsidR="000648EC" w:rsidRPr="00934853" w:rsidRDefault="000648EC" w:rsidP="000648EC">
      <w:pPr>
        <w:pStyle w:val="Textonotapie"/>
        <w:rPr>
          <w:rFonts w:ascii="Arial" w:hAnsi="Arial" w:cs="Arial"/>
          <w:lang w:val="es-ES"/>
        </w:rPr>
      </w:pPr>
      <w:r w:rsidRPr="00934853">
        <w:rPr>
          <w:rStyle w:val="Refdenotaalpie"/>
          <w:rFonts w:ascii="Arial" w:hAnsi="Arial" w:cs="Arial"/>
        </w:rPr>
        <w:footnoteRef/>
      </w:r>
      <w:r w:rsidRPr="00934853">
        <w:rPr>
          <w:rFonts w:ascii="Arial" w:hAnsi="Arial" w:cs="Arial"/>
        </w:rPr>
        <w:t xml:space="preserve"> </w:t>
      </w:r>
      <w:r>
        <w:rPr>
          <w:rFonts w:ascii="Arial" w:hAnsi="Arial" w:cs="Arial"/>
          <w:lang w:val="es-ES"/>
        </w:rPr>
        <w:t xml:space="preserve">Artículo adicionado </w:t>
      </w:r>
      <w:r w:rsidRPr="00934853">
        <w:rPr>
          <w:rFonts w:ascii="Arial" w:hAnsi="Arial" w:cs="Arial"/>
          <w:lang w:val="es-ES"/>
        </w:rPr>
        <w:t>por la Ley 2080 de 25 de enero de 2021.</w:t>
      </w:r>
    </w:p>
  </w:footnote>
  <w:footnote w:id="2">
    <w:p w14:paraId="2E85125C" w14:textId="30221EFF" w:rsidR="00911C54" w:rsidRPr="004A09B7" w:rsidRDefault="00911C54" w:rsidP="00911C54">
      <w:pPr>
        <w:pStyle w:val="Textonotapie"/>
        <w:jc w:val="both"/>
        <w:rPr>
          <w:rFonts w:ascii="Arial" w:hAnsi="Arial" w:cs="Arial"/>
        </w:rPr>
      </w:pPr>
      <w:r w:rsidRPr="004A09B7">
        <w:rPr>
          <w:rStyle w:val="Refdenotaalpie"/>
          <w:rFonts w:ascii="Arial" w:hAnsi="Arial" w:cs="Arial"/>
        </w:rPr>
        <w:footnoteRef/>
      </w:r>
      <w:r w:rsidRPr="004A09B7">
        <w:rPr>
          <w:rFonts w:ascii="Arial" w:hAnsi="Arial" w:cs="Arial"/>
        </w:rPr>
        <w:t xml:space="preserve"> Art. 36. Ex rectores (…)</w:t>
      </w:r>
      <w:r>
        <w:rPr>
          <w:rFonts w:ascii="Arial" w:hAnsi="Arial" w:cs="Arial"/>
        </w:rPr>
        <w:t xml:space="preserve"> </w:t>
      </w:r>
      <w:r w:rsidRPr="004A09B7">
        <w:rPr>
          <w:rFonts w:ascii="Arial" w:hAnsi="Arial" w:cs="Arial"/>
        </w:rPr>
        <w:t xml:space="preserve">Para efectos de elegir el representante de los ex rectores de la Universidad del Pacífico, el rector deberá convocar públicamente a quienes hayan ocupado el cargo de rector en propiedad en una universidad estatal u oficial de la región pacífica, para que en una reunión presencial o virtual y de entre ellos mismos, mediante votación secreta y por mayoría de votos elijan su representante y suplente, previa postulación de los interesados. De esta reunión se levantará un Acta que suscribirán los asistentes, la cual será entregada al Comité Electoral, el cual verificará el cumplimiento de todos los requisitos y enviará al Consejo Superior para que proceda a posesionar al representante elegido” </w:t>
      </w:r>
    </w:p>
  </w:footnote>
  <w:footnote w:id="3">
    <w:p w14:paraId="421E0C5E" w14:textId="77777777" w:rsidR="00911C54" w:rsidRPr="004A09B7" w:rsidRDefault="00911C54" w:rsidP="00911C54">
      <w:pPr>
        <w:pStyle w:val="Textonotapie"/>
        <w:jc w:val="both"/>
        <w:rPr>
          <w:rFonts w:ascii="Arial" w:hAnsi="Arial" w:cs="Arial"/>
        </w:rPr>
      </w:pPr>
      <w:r w:rsidRPr="004A09B7">
        <w:rPr>
          <w:rStyle w:val="Refdenotaalpie"/>
          <w:rFonts w:ascii="Arial" w:hAnsi="Arial" w:cs="Arial"/>
        </w:rPr>
        <w:footnoteRef/>
      </w:r>
      <w:r w:rsidRPr="004A09B7">
        <w:rPr>
          <w:rFonts w:ascii="Arial" w:hAnsi="Arial" w:cs="Arial"/>
        </w:rPr>
        <w:t xml:space="preserve"> Art. 40. Elección de representantes estamentarios, Los representantes estamentarios en los órganos de dirección, concejos o comités en los que reglamentariamente se haya establecido su participación, serán elegidos por su respectivo estamento en fórmula principal y suplente, para un periodo institucional de dos años, contados a partir de su posesión. (…)</w:t>
      </w:r>
    </w:p>
  </w:footnote>
  <w:footnote w:id="4">
    <w:p w14:paraId="15CD4DCA" w14:textId="77777777" w:rsidR="00911C54" w:rsidRPr="004A09B7" w:rsidRDefault="00911C54" w:rsidP="00911C54">
      <w:pPr>
        <w:pStyle w:val="Textonotapie"/>
        <w:jc w:val="both"/>
        <w:rPr>
          <w:rFonts w:ascii="Arial" w:hAnsi="Arial" w:cs="Arial"/>
        </w:rPr>
      </w:pPr>
      <w:r w:rsidRPr="004A09B7">
        <w:rPr>
          <w:rStyle w:val="Refdenotaalpie"/>
          <w:rFonts w:ascii="Arial" w:hAnsi="Arial" w:cs="Arial"/>
        </w:rPr>
        <w:footnoteRef/>
      </w:r>
      <w:r w:rsidRPr="004A09B7">
        <w:rPr>
          <w:rFonts w:ascii="Arial" w:hAnsi="Arial" w:cs="Arial"/>
        </w:rPr>
        <w:t xml:space="preserve"> Art. 42. Convocatoria a elección. La convocatoria a elección será proferida mediante acuerdo del Consejo Superior que deberá contener el cronograma de elección, las calidades requeridas para el cargo, el lugar y plazo de inscripciones, la fecha y sede de la jornada electoral, la composición del potencial electoral y las condiciones de validez y reconocimiento de las elecciones. Este acuerdo deberá ser publicado en la página web y en las carteleras de la institución. (…)</w:t>
      </w:r>
    </w:p>
  </w:footnote>
  <w:footnote w:id="5">
    <w:p w14:paraId="002DF77B" w14:textId="77777777" w:rsidR="00911C54" w:rsidRPr="00EC4CB3" w:rsidRDefault="00911C54" w:rsidP="00911C54">
      <w:pPr>
        <w:pStyle w:val="Textonotapie"/>
        <w:jc w:val="both"/>
      </w:pPr>
      <w:r w:rsidRPr="004A09B7">
        <w:rPr>
          <w:rStyle w:val="Refdenotaalpie"/>
          <w:rFonts w:ascii="Arial" w:hAnsi="Arial" w:cs="Arial"/>
        </w:rPr>
        <w:footnoteRef/>
      </w:r>
      <w:r w:rsidRPr="004A09B7">
        <w:rPr>
          <w:rFonts w:ascii="Arial" w:hAnsi="Arial" w:cs="Arial"/>
        </w:rPr>
        <w:t xml:space="preserve"> Art. 2. Para efectos de elegir el representante de los ex rectores de la Universidad del Pacífico, el rector deberá convocar públicamente a quienes hayan ocupado el cargo de rector en propiedad en una universidad estatal u oficial de la región pacífica, para que en una reunión presencial o virtual y de entre ellos mismos, mediante votación secreta y por mayoría de votos elijan su representante y suplente, previa postulación de los interesados. De esta reunión se levantará un Acta que suscribirán los asistentes, la cual será entregada al Comité Electoral, el cual verificará el cumplimiento de todos los requisitos y enviará al Consejo Superior para que proceda a posesionar al representante elegido</w:t>
      </w:r>
    </w:p>
  </w:footnote>
  <w:footnote w:id="6">
    <w:p w14:paraId="7E7BECE4" w14:textId="77777777" w:rsidR="00911C54" w:rsidRPr="00EC4CB3" w:rsidRDefault="00911C54" w:rsidP="00911C54">
      <w:pPr>
        <w:pStyle w:val="Textonotapie"/>
        <w:jc w:val="both"/>
        <w:rPr>
          <w:rFonts w:ascii="Arial" w:hAnsi="Arial" w:cs="Arial"/>
        </w:rPr>
      </w:pPr>
      <w:r w:rsidRPr="00EC4CB3">
        <w:rPr>
          <w:rStyle w:val="Refdenotaalpie"/>
          <w:rFonts w:ascii="Arial" w:hAnsi="Arial" w:cs="Arial"/>
        </w:rPr>
        <w:footnoteRef/>
      </w:r>
      <w:r w:rsidRPr="00EC4CB3">
        <w:rPr>
          <w:rFonts w:ascii="Arial" w:hAnsi="Arial" w:cs="Arial"/>
        </w:rPr>
        <w:t xml:space="preserve"> “por medio del cual se establece el cronograma electoral para las elecciones </w:t>
      </w:r>
      <w:proofErr w:type="spellStart"/>
      <w:r w:rsidRPr="00EC4CB3">
        <w:rPr>
          <w:rFonts w:ascii="Arial" w:hAnsi="Arial" w:cs="Arial"/>
        </w:rPr>
        <w:t>estamentarias</w:t>
      </w:r>
      <w:proofErr w:type="spellEnd"/>
      <w:r w:rsidRPr="00EC4CB3">
        <w:rPr>
          <w:rFonts w:ascii="Arial" w:hAnsi="Arial" w:cs="Arial"/>
        </w:rPr>
        <w:t xml:space="preserve"> de los representantes ante el Consejo Superior por el sector productivo, </w:t>
      </w:r>
      <w:proofErr w:type="spellStart"/>
      <w:r w:rsidRPr="00EC4CB3">
        <w:rPr>
          <w:rFonts w:ascii="Arial" w:hAnsi="Arial" w:cs="Arial"/>
        </w:rPr>
        <w:t>exrectores</w:t>
      </w:r>
      <w:proofErr w:type="spellEnd"/>
      <w:r w:rsidRPr="00EC4CB3">
        <w:rPr>
          <w:rFonts w:ascii="Arial" w:hAnsi="Arial" w:cs="Arial"/>
        </w:rPr>
        <w:t xml:space="preserve"> y directivas académicas de la Universidad del Pacífico.”</w:t>
      </w:r>
    </w:p>
  </w:footnote>
  <w:footnote w:id="7">
    <w:p w14:paraId="733BE468" w14:textId="77777777" w:rsidR="00911C54" w:rsidRPr="00BE54E9" w:rsidRDefault="00911C54" w:rsidP="00911C54">
      <w:pPr>
        <w:pStyle w:val="Textonotapie"/>
        <w:ind w:right="51"/>
        <w:jc w:val="both"/>
        <w:rPr>
          <w:rFonts w:ascii="Arial" w:hAnsi="Arial" w:cs="Arial"/>
        </w:rPr>
      </w:pPr>
      <w:r w:rsidRPr="00BE54E9">
        <w:rPr>
          <w:rStyle w:val="Refdenotaalpie"/>
          <w:rFonts w:ascii="Arial" w:hAnsi="Arial" w:cs="Arial"/>
        </w:rPr>
        <w:footnoteRef/>
      </w:r>
      <w:r w:rsidRPr="00BE54E9">
        <w:rPr>
          <w:rFonts w:ascii="Arial" w:hAnsi="Arial" w:cs="Arial"/>
        </w:rPr>
        <w:t xml:space="preserve"> “Para efectos de elegir el representante de los </w:t>
      </w:r>
      <w:proofErr w:type="spellStart"/>
      <w:r w:rsidRPr="00BE54E9">
        <w:rPr>
          <w:rFonts w:ascii="Arial" w:hAnsi="Arial" w:cs="Arial"/>
        </w:rPr>
        <w:t>exrectores</w:t>
      </w:r>
      <w:proofErr w:type="spellEnd"/>
      <w:r w:rsidRPr="00BE54E9">
        <w:rPr>
          <w:rFonts w:ascii="Arial" w:hAnsi="Arial" w:cs="Arial"/>
        </w:rPr>
        <w:t xml:space="preserve"> de la Universidad del Pacífico, el rector deberá convocar públicamente a quienes hayan ocupado el cargo de rector en propiedad en una universidad estatal u oficial de la región pacífica, para que en una reunión presencial o virtual y de entre ellos mismos, mediante votación secreta y por mayoría de votos elijan su representante y suplente, previa postulación de los interesados.</w:t>
      </w:r>
    </w:p>
    <w:p w14:paraId="5BB6627D" w14:textId="77777777" w:rsidR="00911C54" w:rsidRPr="00BE54E9" w:rsidRDefault="00911C54" w:rsidP="00911C54">
      <w:pPr>
        <w:pStyle w:val="Textonotapie"/>
        <w:ind w:right="51"/>
        <w:jc w:val="both"/>
        <w:rPr>
          <w:rFonts w:ascii="Arial" w:hAnsi="Arial" w:cs="Arial"/>
        </w:rPr>
      </w:pPr>
      <w:r w:rsidRPr="00BE54E9">
        <w:rPr>
          <w:rFonts w:ascii="Arial" w:hAnsi="Arial" w:cs="Arial"/>
        </w:rPr>
        <w:t>De esta reunión se levantará un Acta que suscribirán los asistentes, la cual será entregada al Comité Electoral, el cual verificará el cumplimiento de todos los requisitos y enviará al Consejo Superior para que proceda a posesionar al representante elegido”</w:t>
      </w:r>
    </w:p>
  </w:footnote>
  <w:footnote w:id="8">
    <w:p w14:paraId="7EED4739" w14:textId="77777777" w:rsidR="00911C54" w:rsidRPr="00BE54E9" w:rsidRDefault="00911C54" w:rsidP="00911C54">
      <w:pPr>
        <w:pStyle w:val="Textonotapie"/>
        <w:ind w:right="51"/>
        <w:jc w:val="both"/>
        <w:rPr>
          <w:rFonts w:ascii="Arial" w:hAnsi="Arial" w:cs="Arial"/>
        </w:rPr>
      </w:pPr>
      <w:r w:rsidRPr="00BE54E9">
        <w:rPr>
          <w:rStyle w:val="Refdenotaalpie"/>
          <w:rFonts w:ascii="Arial" w:hAnsi="Arial" w:cs="Arial"/>
        </w:rPr>
        <w:footnoteRef/>
      </w:r>
      <w:r w:rsidRPr="00BE54E9">
        <w:rPr>
          <w:rFonts w:ascii="Arial" w:hAnsi="Arial" w:cs="Arial"/>
        </w:rPr>
        <w:t xml:space="preserve"> “por medio del cual se establece el cronograma electoral para las elecciones </w:t>
      </w:r>
      <w:proofErr w:type="spellStart"/>
      <w:r w:rsidRPr="00BE54E9">
        <w:rPr>
          <w:rFonts w:ascii="Arial" w:hAnsi="Arial" w:cs="Arial"/>
        </w:rPr>
        <w:t>estamentarias</w:t>
      </w:r>
      <w:proofErr w:type="spellEnd"/>
      <w:r w:rsidRPr="00BE54E9">
        <w:rPr>
          <w:rFonts w:ascii="Arial" w:hAnsi="Arial" w:cs="Arial"/>
        </w:rPr>
        <w:t xml:space="preserve"> de los representantes ante el Consejo Superior por el sector productivo, </w:t>
      </w:r>
      <w:proofErr w:type="spellStart"/>
      <w:r w:rsidRPr="00BE54E9">
        <w:rPr>
          <w:rFonts w:ascii="Arial" w:hAnsi="Arial" w:cs="Arial"/>
        </w:rPr>
        <w:t>exrectores</w:t>
      </w:r>
      <w:proofErr w:type="spellEnd"/>
      <w:r w:rsidRPr="00BE54E9">
        <w:rPr>
          <w:rFonts w:ascii="Arial" w:hAnsi="Arial" w:cs="Arial"/>
        </w:rPr>
        <w:t xml:space="preserve"> y directivas académicas de la Universidad del Pacífico”</w:t>
      </w:r>
    </w:p>
  </w:footnote>
  <w:footnote w:id="9">
    <w:p w14:paraId="6DA16BAE" w14:textId="28053DE4" w:rsidR="00BE54E9" w:rsidRPr="00BE54E9" w:rsidRDefault="00BE54E9">
      <w:pPr>
        <w:pStyle w:val="Textonotapie"/>
        <w:rPr>
          <w:lang w:val="es-MX"/>
        </w:rPr>
      </w:pPr>
      <w:r w:rsidRPr="00BE54E9">
        <w:rPr>
          <w:rStyle w:val="Refdenotaalpie"/>
          <w:rFonts w:ascii="Arial" w:hAnsi="Arial" w:cs="Arial"/>
        </w:rPr>
        <w:footnoteRef/>
      </w:r>
      <w:r w:rsidRPr="00BE54E9">
        <w:rPr>
          <w:rFonts w:ascii="Arial" w:hAnsi="Arial" w:cs="Arial"/>
        </w:rPr>
        <w:t xml:space="preserve"> Norma adicionada por el artículo 42 de la Ley 2080 de 2021.</w:t>
      </w:r>
    </w:p>
  </w:footnote>
  <w:footnote w:id="10">
    <w:p w14:paraId="2DDFBB44" w14:textId="77777777" w:rsidR="000648EC" w:rsidRPr="0022622B" w:rsidRDefault="000648EC" w:rsidP="000648EC">
      <w:pPr>
        <w:pStyle w:val="Textonotapie"/>
        <w:jc w:val="both"/>
        <w:rPr>
          <w:rFonts w:ascii="Arial" w:hAnsi="Arial" w:cs="Arial"/>
        </w:rPr>
      </w:pPr>
      <w:r w:rsidRPr="0022622B">
        <w:rPr>
          <w:rStyle w:val="Refdenotaalpie"/>
          <w:rFonts w:ascii="Arial" w:hAnsi="Arial" w:cs="Arial"/>
        </w:rPr>
        <w:footnoteRef/>
      </w:r>
      <w:r w:rsidRPr="000648EC">
        <w:rPr>
          <w:rFonts w:ascii="Arial" w:hAnsi="Arial" w:cs="Arial"/>
          <w:lang w:val="es-MX"/>
        </w:rPr>
        <w:t xml:space="preserve"> Art. 278 (…) </w:t>
      </w:r>
      <w:r w:rsidRPr="0022622B">
        <w:rPr>
          <w:rFonts w:ascii="Arial" w:hAnsi="Arial" w:cs="Arial"/>
        </w:rPr>
        <w:t>En cualquier estado del proceso, el juez deberá dictar sentencia anticipada, total o parcial, en los siguientes eventos: </w:t>
      </w:r>
    </w:p>
    <w:p w14:paraId="7B1FF365" w14:textId="77777777" w:rsidR="000648EC" w:rsidRPr="0022622B" w:rsidRDefault="000648EC" w:rsidP="000648EC">
      <w:pPr>
        <w:pStyle w:val="Textonotapie"/>
        <w:jc w:val="both"/>
        <w:rPr>
          <w:rFonts w:ascii="Arial" w:hAnsi="Arial" w:cs="Arial"/>
        </w:rPr>
      </w:pPr>
      <w:r w:rsidRPr="0022622B">
        <w:rPr>
          <w:rFonts w:ascii="Arial" w:hAnsi="Arial" w:cs="Arial"/>
        </w:rPr>
        <w:t> 1. Cuando las partes o sus apoderados de común acuerdo lo soliciten, sea por iniciativa propia o por sugerencia del juez. </w:t>
      </w:r>
    </w:p>
    <w:p w14:paraId="13C965C7" w14:textId="77777777" w:rsidR="000648EC" w:rsidRPr="0022622B" w:rsidRDefault="000648EC" w:rsidP="000648EC">
      <w:pPr>
        <w:pStyle w:val="Textonotapie"/>
        <w:jc w:val="both"/>
        <w:rPr>
          <w:rFonts w:ascii="Arial" w:hAnsi="Arial" w:cs="Arial"/>
        </w:rPr>
      </w:pPr>
      <w:r w:rsidRPr="0022622B">
        <w:rPr>
          <w:rFonts w:ascii="Arial" w:hAnsi="Arial" w:cs="Arial"/>
        </w:rPr>
        <w:t>2. Cuando no hubiere pruebas por practicar. </w:t>
      </w:r>
    </w:p>
    <w:p w14:paraId="30522EFA" w14:textId="77777777" w:rsidR="000648EC" w:rsidRPr="0022622B" w:rsidRDefault="000648EC" w:rsidP="000648EC">
      <w:pPr>
        <w:pStyle w:val="Textonotapie"/>
        <w:jc w:val="both"/>
      </w:pPr>
      <w:r w:rsidRPr="0022622B">
        <w:rPr>
          <w:rFonts w:ascii="Arial" w:hAnsi="Arial" w:cs="Arial"/>
        </w:rPr>
        <w:t>3. Cuando se encuentre probada la cosa juzgada, la transacción, la caducidad, la prescripción extintiva y la carencia de legitimación en la causa.</w:t>
      </w:r>
      <w:r w:rsidRPr="0022622B">
        <w:t> </w:t>
      </w:r>
    </w:p>
  </w:footnote>
  <w:footnote w:id="11">
    <w:p w14:paraId="5BE102B0" w14:textId="77777777" w:rsidR="000648EC" w:rsidRPr="002B282E" w:rsidRDefault="000648EC" w:rsidP="000648EC">
      <w:pPr>
        <w:pStyle w:val="Textonotapie"/>
        <w:jc w:val="both"/>
        <w:rPr>
          <w:rFonts w:ascii="Arial" w:hAnsi="Arial" w:cs="Arial"/>
          <w:lang w:val="es-ES"/>
        </w:rPr>
      </w:pPr>
      <w:r w:rsidRPr="002B282E">
        <w:rPr>
          <w:rStyle w:val="Refdenotaalpie"/>
          <w:rFonts w:ascii="Arial" w:hAnsi="Arial" w:cs="Arial"/>
        </w:rPr>
        <w:footnoteRef/>
      </w:r>
      <w:r w:rsidRPr="002B282E">
        <w:rPr>
          <w:rFonts w:ascii="Arial" w:hAnsi="Arial" w:cs="Arial"/>
        </w:rPr>
        <w:t xml:space="preserve"> </w:t>
      </w:r>
      <w:r w:rsidRPr="002B282E">
        <w:rPr>
          <w:rFonts w:ascii="Arial" w:hAnsi="Arial" w:cs="Arial"/>
          <w:lang w:val="es-ES"/>
        </w:rPr>
        <w:t xml:space="preserve">Declarada mediante Decreto </w:t>
      </w:r>
      <w:r w:rsidRPr="002B282E">
        <w:rPr>
          <w:rFonts w:ascii="Arial" w:hAnsi="Arial" w:cs="Arial"/>
        </w:rPr>
        <w:t>637 del 6 de mayo de 2020</w:t>
      </w:r>
      <w:r>
        <w:rPr>
          <w:rFonts w:ascii="Arial" w:hAnsi="Arial" w:cs="Arial"/>
        </w:rPr>
        <w:t>,</w:t>
      </w:r>
      <w:r w:rsidRPr="002B282E">
        <w:rPr>
          <w:rFonts w:ascii="Arial" w:hAnsi="Arial" w:cs="Arial"/>
        </w:rPr>
        <w:t xml:space="preserve"> con el fin de conjurar la calamidad pública que afecta al país por causa de la pandemia del </w:t>
      </w:r>
      <w:r>
        <w:rPr>
          <w:rFonts w:ascii="Arial" w:hAnsi="Arial" w:cs="Arial"/>
        </w:rPr>
        <w:t>virus SARS2-</w:t>
      </w:r>
      <w:r w:rsidRPr="002B282E">
        <w:rPr>
          <w:rFonts w:ascii="Arial" w:hAnsi="Arial" w:cs="Arial"/>
        </w:rPr>
        <w:t>COVID-19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8D2F" w14:textId="77777777" w:rsidR="00BD1974" w:rsidRPr="00373A5D" w:rsidRDefault="00F9331D">
    <w:pPr>
      <w:pStyle w:val="Encabezado"/>
      <w:rPr>
        <w:rFonts w:ascii="Verdana" w:hAnsi="Verdana"/>
        <w:sz w:val="20"/>
        <w:szCs w:val="20"/>
      </w:rPr>
    </w:pPr>
    <w:r>
      <w:rPr>
        <w:noProof/>
        <w:lang w:val="en-US"/>
      </w:rPr>
      <w:drawing>
        <wp:anchor distT="0" distB="0" distL="114300" distR="114300" simplePos="0" relativeHeight="251660288" behindDoc="0" locked="0" layoutInCell="1" allowOverlap="1" wp14:anchorId="32FCD9DA" wp14:editId="293E5265">
          <wp:simplePos x="0" y="0"/>
          <wp:positionH relativeFrom="column">
            <wp:posOffset>-375285</wp:posOffset>
          </wp:positionH>
          <wp:positionV relativeFrom="paragraph">
            <wp:posOffset>-238125</wp:posOffset>
          </wp:positionV>
          <wp:extent cx="1238250" cy="115443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5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5063D" w14:textId="77777777" w:rsidR="00BD1974" w:rsidRPr="00373A5D" w:rsidRDefault="00A30997">
    <w:pPr>
      <w:pStyle w:val="Encabezado"/>
      <w:rPr>
        <w:rFonts w:ascii="Verdana" w:hAnsi="Verdana"/>
        <w:sz w:val="20"/>
        <w:szCs w:val="20"/>
      </w:rPr>
    </w:pPr>
  </w:p>
  <w:p w14:paraId="068D148D" w14:textId="77777777" w:rsidR="00BD1974" w:rsidRPr="00373A5D" w:rsidRDefault="00F9331D">
    <w:pPr>
      <w:pStyle w:val="Encabezado"/>
      <w:rPr>
        <w:rFonts w:ascii="Verdana" w:hAnsi="Verdana"/>
        <w:sz w:val="20"/>
        <w:szCs w:val="20"/>
      </w:rPr>
    </w:pPr>
    <w:r>
      <w:rPr>
        <w:noProof/>
        <w:lang w:val="en-US"/>
      </w:rPr>
      <mc:AlternateContent>
        <mc:Choice Requires="wps">
          <w:drawing>
            <wp:anchor distT="4294967295" distB="4294967295" distL="114300" distR="114300" simplePos="0" relativeHeight="251659264" behindDoc="0" locked="0" layoutInCell="1" allowOverlap="1" wp14:anchorId="56EBAA22" wp14:editId="29EAB218">
              <wp:simplePos x="0" y="0"/>
              <wp:positionH relativeFrom="column">
                <wp:posOffset>1379855</wp:posOffset>
              </wp:positionH>
              <wp:positionV relativeFrom="paragraph">
                <wp:posOffset>60324</wp:posOffset>
              </wp:positionV>
              <wp:extent cx="5400040" cy="0"/>
              <wp:effectExtent l="0" t="19050" r="29210"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40DDE2D" id="_x0000_t32" coordsize="21600,21600" o:spt="32" o:oned="t" path="m,l21600,21600e" filled="f">
              <v:path arrowok="t" fillok="f" o:connecttype="none"/>
              <o:lock v:ext="edit" shapetype="t"/>
            </v:shapetype>
            <v:shape id="Conector recto de flecha 1" o:spid="_x0000_s1026" type="#_x0000_t32" style="position:absolute;margin-left:108.65pt;margin-top:4.75pt;width:42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" strokeweight="2.25pt"/>
          </w:pict>
        </mc:Fallback>
      </mc:AlternateContent>
    </w:r>
  </w:p>
  <w:p w14:paraId="6D5A1626" w14:textId="47F73189" w:rsidR="00BD1974" w:rsidRDefault="00F9331D" w:rsidP="00892A62">
    <w:pPr>
      <w:pStyle w:val="Encabezado"/>
      <w:jc w:val="right"/>
      <w:rPr>
        <w:rFonts w:ascii="Arial" w:hAnsi="Arial" w:cs="Arial"/>
        <w:color w:val="767171"/>
        <w:sz w:val="20"/>
        <w:szCs w:val="20"/>
      </w:rPr>
    </w:pPr>
    <w:r w:rsidRPr="00214C49">
      <w:rPr>
        <w:rFonts w:ascii="Arial" w:hAnsi="Arial" w:cs="Arial"/>
        <w:b/>
        <w:bCs/>
        <w:color w:val="767171"/>
        <w:sz w:val="20"/>
        <w:szCs w:val="20"/>
      </w:rPr>
      <w:t>Radicado</w:t>
    </w:r>
    <w:r w:rsidRPr="00214C49">
      <w:rPr>
        <w:rFonts w:ascii="Arial" w:hAnsi="Arial" w:cs="Arial"/>
        <w:color w:val="767171"/>
        <w:sz w:val="20"/>
        <w:szCs w:val="20"/>
      </w:rPr>
      <w:t xml:space="preserve">: </w:t>
    </w:r>
    <w:r>
      <w:rPr>
        <w:rFonts w:ascii="Arial" w:hAnsi="Arial" w:cs="Arial"/>
        <w:color w:val="767171"/>
        <w:sz w:val="20"/>
        <w:szCs w:val="20"/>
      </w:rPr>
      <w:t>11</w:t>
    </w:r>
    <w:r w:rsidRPr="00214C49">
      <w:rPr>
        <w:rFonts w:ascii="Arial" w:hAnsi="Arial" w:cs="Arial"/>
        <w:color w:val="767171"/>
        <w:sz w:val="20"/>
        <w:szCs w:val="20"/>
      </w:rPr>
      <w:t>00</w:t>
    </w:r>
    <w:r>
      <w:rPr>
        <w:rFonts w:ascii="Arial" w:hAnsi="Arial" w:cs="Arial"/>
        <w:color w:val="767171"/>
        <w:sz w:val="20"/>
        <w:szCs w:val="20"/>
      </w:rPr>
      <w:t>1</w:t>
    </w:r>
    <w:r w:rsidRPr="00214C49">
      <w:rPr>
        <w:rFonts w:ascii="Arial" w:hAnsi="Arial" w:cs="Arial"/>
        <w:color w:val="767171"/>
        <w:sz w:val="20"/>
        <w:szCs w:val="20"/>
      </w:rPr>
      <w:t>-</w:t>
    </w:r>
    <w:r>
      <w:rPr>
        <w:rFonts w:ascii="Arial" w:hAnsi="Arial" w:cs="Arial"/>
        <w:color w:val="767171"/>
        <w:sz w:val="20"/>
        <w:szCs w:val="20"/>
      </w:rPr>
      <w:t>0</w:t>
    </w:r>
    <w:r w:rsidRPr="00214C49">
      <w:rPr>
        <w:rFonts w:ascii="Arial" w:hAnsi="Arial" w:cs="Arial"/>
        <w:color w:val="767171"/>
        <w:sz w:val="20"/>
        <w:szCs w:val="20"/>
      </w:rPr>
      <w:t>3-</w:t>
    </w:r>
    <w:r>
      <w:rPr>
        <w:rFonts w:ascii="Arial" w:hAnsi="Arial" w:cs="Arial"/>
        <w:color w:val="767171"/>
        <w:sz w:val="20"/>
        <w:szCs w:val="20"/>
      </w:rPr>
      <w:t>28</w:t>
    </w:r>
    <w:r w:rsidRPr="00214C49">
      <w:rPr>
        <w:rFonts w:ascii="Arial" w:hAnsi="Arial" w:cs="Arial"/>
        <w:color w:val="767171"/>
        <w:sz w:val="20"/>
        <w:szCs w:val="20"/>
      </w:rPr>
      <w:t>-000-20</w:t>
    </w:r>
    <w:r w:rsidR="000648EC">
      <w:rPr>
        <w:rFonts w:ascii="Arial" w:hAnsi="Arial" w:cs="Arial"/>
        <w:color w:val="767171"/>
        <w:sz w:val="20"/>
        <w:szCs w:val="20"/>
      </w:rPr>
      <w:t>20</w:t>
    </w:r>
    <w:r w:rsidRPr="00214C49">
      <w:rPr>
        <w:rFonts w:ascii="Arial" w:hAnsi="Arial" w:cs="Arial"/>
        <w:color w:val="767171"/>
        <w:sz w:val="20"/>
        <w:szCs w:val="20"/>
      </w:rPr>
      <w:t>-00</w:t>
    </w:r>
    <w:r>
      <w:rPr>
        <w:rFonts w:ascii="Arial" w:hAnsi="Arial" w:cs="Arial"/>
        <w:color w:val="767171"/>
        <w:sz w:val="20"/>
        <w:szCs w:val="20"/>
      </w:rPr>
      <w:t>0</w:t>
    </w:r>
    <w:r w:rsidR="000648EC">
      <w:rPr>
        <w:rFonts w:ascii="Arial" w:hAnsi="Arial" w:cs="Arial"/>
        <w:color w:val="767171"/>
        <w:sz w:val="20"/>
        <w:szCs w:val="20"/>
      </w:rPr>
      <w:t>60</w:t>
    </w:r>
    <w:r w:rsidRPr="00214C49">
      <w:rPr>
        <w:rFonts w:ascii="Arial" w:hAnsi="Arial" w:cs="Arial"/>
        <w:color w:val="767171"/>
        <w:sz w:val="20"/>
        <w:szCs w:val="20"/>
      </w:rPr>
      <w:t>-0</w:t>
    </w:r>
    <w:r>
      <w:rPr>
        <w:rFonts w:ascii="Arial" w:hAnsi="Arial" w:cs="Arial"/>
        <w:color w:val="767171"/>
        <w:sz w:val="20"/>
        <w:szCs w:val="20"/>
      </w:rPr>
      <w:t>0</w:t>
    </w:r>
    <w:r w:rsidRPr="00214C49">
      <w:rPr>
        <w:rFonts w:ascii="Arial" w:hAnsi="Arial" w:cs="Arial"/>
        <w:color w:val="767171"/>
        <w:sz w:val="20"/>
        <w:szCs w:val="20"/>
      </w:rPr>
      <w:t xml:space="preserve">                                             </w:t>
    </w:r>
  </w:p>
  <w:p w14:paraId="3410A119" w14:textId="13781EF5" w:rsidR="00BD1974" w:rsidRPr="00214C49" w:rsidRDefault="00F9331D" w:rsidP="00892A62">
    <w:pPr>
      <w:pStyle w:val="Encabezado"/>
      <w:jc w:val="right"/>
      <w:rPr>
        <w:rFonts w:ascii="Arial" w:hAnsi="Arial" w:cs="Arial"/>
        <w:color w:val="767171"/>
        <w:sz w:val="20"/>
        <w:szCs w:val="20"/>
      </w:rPr>
    </w:pPr>
    <w:r w:rsidRPr="00214C49">
      <w:rPr>
        <w:rFonts w:ascii="Arial" w:hAnsi="Arial" w:cs="Arial"/>
        <w:b/>
        <w:bCs/>
        <w:color w:val="767171"/>
        <w:sz w:val="20"/>
        <w:szCs w:val="20"/>
      </w:rPr>
      <w:t>Demandante</w:t>
    </w:r>
    <w:r w:rsidRPr="00214C49">
      <w:rPr>
        <w:rFonts w:ascii="Arial" w:hAnsi="Arial" w:cs="Arial"/>
        <w:color w:val="767171"/>
        <w:sz w:val="20"/>
        <w:szCs w:val="20"/>
      </w:rPr>
      <w:t xml:space="preserve">: </w:t>
    </w:r>
    <w:r w:rsidR="000648EC">
      <w:rPr>
        <w:rFonts w:ascii="Arial" w:hAnsi="Arial" w:cs="Arial"/>
        <w:color w:val="767171"/>
        <w:sz w:val="20"/>
        <w:szCs w:val="20"/>
      </w:rPr>
      <w:t>Eduardo Antonio García Vega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2C20"/>
    <w:multiLevelType w:val="hybridMultilevel"/>
    <w:tmpl w:val="F7D68E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42E3CD6"/>
    <w:multiLevelType w:val="multilevel"/>
    <w:tmpl w:val="311C7F8A"/>
    <w:lvl w:ilvl="0">
      <w:start w:val="1"/>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2DCA5335"/>
    <w:multiLevelType w:val="hybridMultilevel"/>
    <w:tmpl w:val="5A782F06"/>
    <w:lvl w:ilvl="0" w:tplc="080A0017">
      <w:start w:val="1"/>
      <w:numFmt w:val="low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7F26A5"/>
    <w:multiLevelType w:val="hybridMultilevel"/>
    <w:tmpl w:val="940AC00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46E621D6"/>
    <w:multiLevelType w:val="hybridMultilevel"/>
    <w:tmpl w:val="BE348B14"/>
    <w:lvl w:ilvl="0" w:tplc="F356E9EC">
      <w:start w:val="1"/>
      <w:numFmt w:val="lowerRoman"/>
      <w:lvlText w:val="%1."/>
      <w:lvlJc w:val="right"/>
      <w:pPr>
        <w:ind w:left="720" w:hanging="360"/>
      </w:pPr>
      <w:rPr>
        <w:rFonts w:ascii="Arial" w:hAnsi="Arial" w:cs="Arial" w:hint="default"/>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EC"/>
    <w:rsid w:val="000114C7"/>
    <w:rsid w:val="0004402D"/>
    <w:rsid w:val="000648EC"/>
    <w:rsid w:val="00065819"/>
    <w:rsid w:val="00074627"/>
    <w:rsid w:val="000B20C1"/>
    <w:rsid w:val="00122519"/>
    <w:rsid w:val="001722C6"/>
    <w:rsid w:val="001B3425"/>
    <w:rsid w:val="0021344F"/>
    <w:rsid w:val="0021571E"/>
    <w:rsid w:val="00230F12"/>
    <w:rsid w:val="00237D4E"/>
    <w:rsid w:val="00237F33"/>
    <w:rsid w:val="00256231"/>
    <w:rsid w:val="00334E14"/>
    <w:rsid w:val="00357F3D"/>
    <w:rsid w:val="003843D6"/>
    <w:rsid w:val="003F710F"/>
    <w:rsid w:val="004B5434"/>
    <w:rsid w:val="005F44E8"/>
    <w:rsid w:val="006962D3"/>
    <w:rsid w:val="006D6106"/>
    <w:rsid w:val="0072093D"/>
    <w:rsid w:val="00727890"/>
    <w:rsid w:val="007775A8"/>
    <w:rsid w:val="007F4E26"/>
    <w:rsid w:val="00864AFE"/>
    <w:rsid w:val="008D4B58"/>
    <w:rsid w:val="00911C54"/>
    <w:rsid w:val="009713CF"/>
    <w:rsid w:val="009F2076"/>
    <w:rsid w:val="00A05BF0"/>
    <w:rsid w:val="00A30997"/>
    <w:rsid w:val="00AA6631"/>
    <w:rsid w:val="00AB7A97"/>
    <w:rsid w:val="00AF7AB2"/>
    <w:rsid w:val="00B47F32"/>
    <w:rsid w:val="00BC128E"/>
    <w:rsid w:val="00BD7DB3"/>
    <w:rsid w:val="00BE54E9"/>
    <w:rsid w:val="00C42FDC"/>
    <w:rsid w:val="00D145AD"/>
    <w:rsid w:val="00DD7B16"/>
    <w:rsid w:val="00DE01AB"/>
    <w:rsid w:val="00DF3D9D"/>
    <w:rsid w:val="00EB4BA6"/>
    <w:rsid w:val="00EF3323"/>
    <w:rsid w:val="00F32057"/>
    <w:rsid w:val="00F41ECB"/>
    <w:rsid w:val="00F51F52"/>
    <w:rsid w:val="00F9331D"/>
    <w:rsid w:val="00FA39A6"/>
    <w:rsid w:val="00FD18F7"/>
    <w:rsid w:val="00FD19A3"/>
    <w:rsid w:val="00FF10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720D5"/>
  <w15:chartTrackingRefBased/>
  <w15:docId w15:val="{1A16C79C-994A-4DDA-8885-67FA5B85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8EC"/>
    <w:pPr>
      <w:spacing w:after="0" w:line="240" w:lineRule="auto"/>
    </w:pPr>
    <w:rPr>
      <w:rFonts w:ascii="Calibri" w:eastAsia="Calibri" w:hAnsi="Calibri" w:cs="Times New Roman"/>
      <w:lang w:val="es-CO"/>
    </w:rPr>
  </w:style>
  <w:style w:type="paragraph" w:styleId="Ttulo2">
    <w:name w:val="heading 2"/>
    <w:basedOn w:val="Normal"/>
    <w:next w:val="Normal"/>
    <w:link w:val="Ttulo2Car"/>
    <w:uiPriority w:val="9"/>
    <w:unhideWhenUsed/>
    <w:qFormat/>
    <w:rsid w:val="000648EC"/>
    <w:pPr>
      <w:keepNext/>
      <w:spacing w:before="240" w:after="60"/>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648EC"/>
    <w:rPr>
      <w:rFonts w:ascii="Calibri Light" w:eastAsia="Times New Roman" w:hAnsi="Calibri Light" w:cs="Times New Roman"/>
      <w:b/>
      <w:bCs/>
      <w:i/>
      <w:iCs/>
      <w:sz w:val="28"/>
      <w:szCs w:val="28"/>
      <w:lang w:val="es-CO"/>
    </w:rPr>
  </w:style>
  <w:style w:type="paragraph" w:styleId="Encabezado">
    <w:name w:val="header"/>
    <w:basedOn w:val="Normal"/>
    <w:link w:val="EncabezadoCar"/>
    <w:uiPriority w:val="99"/>
    <w:unhideWhenUsed/>
    <w:rsid w:val="000648EC"/>
    <w:pPr>
      <w:tabs>
        <w:tab w:val="center" w:pos="4419"/>
        <w:tab w:val="right" w:pos="8838"/>
      </w:tabs>
    </w:pPr>
  </w:style>
  <w:style w:type="character" w:customStyle="1" w:styleId="EncabezadoCar">
    <w:name w:val="Encabezado Car"/>
    <w:basedOn w:val="Fuentedeprrafopredeter"/>
    <w:link w:val="Encabezado"/>
    <w:uiPriority w:val="99"/>
    <w:rsid w:val="000648EC"/>
    <w:rPr>
      <w:rFonts w:ascii="Calibri" w:eastAsia="Calibri" w:hAnsi="Calibri" w:cs="Times New Roman"/>
      <w:lang w:val="es-CO"/>
    </w:rPr>
  </w:style>
  <w:style w:type="paragraph" w:styleId="Piedepgina">
    <w:name w:val="footer"/>
    <w:basedOn w:val="Normal"/>
    <w:link w:val="PiedepginaCar"/>
    <w:uiPriority w:val="99"/>
    <w:unhideWhenUsed/>
    <w:rsid w:val="000648EC"/>
    <w:pPr>
      <w:tabs>
        <w:tab w:val="center" w:pos="4419"/>
        <w:tab w:val="right" w:pos="8838"/>
      </w:tabs>
    </w:pPr>
  </w:style>
  <w:style w:type="character" w:customStyle="1" w:styleId="PiedepginaCar">
    <w:name w:val="Pie de página Car"/>
    <w:basedOn w:val="Fuentedeprrafopredeter"/>
    <w:link w:val="Piedepgina"/>
    <w:uiPriority w:val="99"/>
    <w:rsid w:val="000648EC"/>
    <w:rPr>
      <w:rFonts w:ascii="Calibri" w:eastAsia="Calibri" w:hAnsi="Calibri" w:cs="Times New Roman"/>
      <w:lang w:val="es-CO"/>
    </w:rPr>
  </w:style>
  <w:style w:type="paragraph" w:styleId="Textonotapie">
    <w:name w:val="footnote text"/>
    <w:aliases w:val="Footnote Text Char Char Char Char Char,Footnote Text Char Char Char Char,Footnote reference,FA Fu,Footnote Text Char Char Char,Footnote Text Char Char Char Car,ft,texto de nota al pie,FA Fußnotentext,FA Fuﬂnotentext,Footnote Text Cha,Car1"/>
    <w:basedOn w:val="Normal"/>
    <w:link w:val="TextonotapieCar"/>
    <w:uiPriority w:val="99"/>
    <w:unhideWhenUsed/>
    <w:qFormat/>
    <w:rsid w:val="000648EC"/>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2,Footnote Text Char Char Char Car Car1,ft Car1,texto de nota al pie Car1,Car1 Car1"/>
    <w:basedOn w:val="Fuentedeprrafopredeter"/>
    <w:link w:val="Textonotapie"/>
    <w:uiPriority w:val="99"/>
    <w:qFormat/>
    <w:rsid w:val="000648EC"/>
    <w:rPr>
      <w:rFonts w:ascii="Calibri" w:eastAsia="Calibri" w:hAnsi="Calibri" w:cs="Times New Roman"/>
      <w:sz w:val="20"/>
      <w:szCs w:val="20"/>
      <w:lang w:val="es-CO"/>
    </w:rPr>
  </w:style>
  <w:style w:type="paragraph" w:styleId="NormalWeb">
    <w:name w:val="Normal (Web)"/>
    <w:basedOn w:val="Normal"/>
    <w:uiPriority w:val="99"/>
    <w:unhideWhenUsed/>
    <w:rsid w:val="000648EC"/>
    <w:rPr>
      <w:rFonts w:ascii="Times New Roman" w:hAnsi="Times New Roman"/>
      <w:sz w:val="24"/>
      <w:szCs w:val="24"/>
    </w:rPr>
  </w:style>
  <w:style w:type="character" w:styleId="Refdenotaalpie">
    <w:name w:val="footnote reference"/>
    <w:aliases w:val="Texto de nota al pie,referencia nota al pie,Ref. de nota al pie 2,Pie de Página,FC,Footnotes refss,Appel note de bas de page,Texto de nota al pi,Footnote number,BVI fnr,4_G,16 Point,Superscript 6 Point,Texto nota al pie,Pie de P_gi,R"/>
    <w:link w:val="4GChar"/>
    <w:uiPriority w:val="99"/>
    <w:qFormat/>
    <w:rsid w:val="000648E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648EC"/>
    <w:pPr>
      <w:jc w:val="both"/>
    </w:pPr>
    <w:rPr>
      <w:rFonts w:asciiTheme="minorHAnsi" w:eastAsiaTheme="minorHAnsi" w:hAnsiTheme="minorHAnsi" w:cstheme="minorBidi"/>
      <w:vertAlign w:val="superscript"/>
      <w:lang w:val="es-MX"/>
    </w:rPr>
  </w:style>
  <w:style w:type="character" w:customStyle="1" w:styleId="baj">
    <w:name w:val="b_aj"/>
    <w:basedOn w:val="Fuentedeprrafopredeter"/>
    <w:rsid w:val="000648EC"/>
  </w:style>
  <w:style w:type="paragraph" w:customStyle="1" w:styleId="Default">
    <w:name w:val="Default"/>
    <w:rsid w:val="000648EC"/>
    <w:pPr>
      <w:autoSpaceDE w:val="0"/>
      <w:autoSpaceDN w:val="0"/>
      <w:adjustRightInd w:val="0"/>
      <w:spacing w:after="0" w:line="240" w:lineRule="auto"/>
    </w:pPr>
    <w:rPr>
      <w:rFonts w:ascii="Century Gothic" w:hAnsi="Century Gothic" w:cs="Century Gothic"/>
      <w:color w:val="000000"/>
      <w:sz w:val="24"/>
      <w:szCs w:val="24"/>
    </w:rPr>
  </w:style>
  <w:style w:type="paragraph" w:styleId="Sinespaciado">
    <w:name w:val="No Spacing"/>
    <w:basedOn w:val="Normal"/>
    <w:uiPriority w:val="1"/>
    <w:qFormat/>
    <w:rsid w:val="000648EC"/>
    <w:pPr>
      <w:spacing w:before="100" w:beforeAutospacing="1" w:after="100" w:afterAutospacing="1"/>
    </w:pPr>
    <w:rPr>
      <w:rFonts w:ascii="Times New Roman" w:eastAsia="Times New Roman" w:hAnsi="Times New Roman"/>
      <w:sz w:val="24"/>
      <w:szCs w:val="24"/>
      <w:lang w:val="es-MX" w:eastAsia="es-MX"/>
    </w:rPr>
  </w:style>
  <w:style w:type="character" w:customStyle="1" w:styleId="NingunoA">
    <w:name w:val="Ninguno A"/>
    <w:rsid w:val="000648EC"/>
  </w:style>
  <w:style w:type="table" w:styleId="Tablaconcuadrcula">
    <w:name w:val="Table Grid"/>
    <w:basedOn w:val="Tablanormal"/>
    <w:uiPriority w:val="39"/>
    <w:rsid w:val="000648EC"/>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o">
    <w:name w:val="formato"/>
    <w:uiPriority w:val="1"/>
    <w:rsid w:val="000648EC"/>
    <w:rPr>
      <w:rFonts w:ascii="Arial" w:hAnsi="Arial"/>
      <w:b/>
      <w:sz w:val="24"/>
    </w:rPr>
  </w:style>
  <w:style w:type="paragraph" w:styleId="Prrafodelista">
    <w:name w:val="List Paragraph"/>
    <w:basedOn w:val="Normal"/>
    <w:uiPriority w:val="34"/>
    <w:qFormat/>
    <w:rsid w:val="000648EC"/>
    <w:pPr>
      <w:ind w:left="708"/>
    </w:pPr>
  </w:style>
  <w:style w:type="character" w:styleId="Hipervnculo">
    <w:name w:val="Hyperlink"/>
    <w:uiPriority w:val="99"/>
    <w:unhideWhenUsed/>
    <w:rsid w:val="000648EC"/>
    <w:rPr>
      <w:color w:val="0563C1"/>
      <w:u w:val="single"/>
    </w:rPr>
  </w:style>
  <w:style w:type="character" w:customStyle="1" w:styleId="TextonotapieCar1">
    <w:name w:val="Texto nota pie Car1"/>
    <w:aliases w:val="Footnote Text Char Char Char Char Char Car,Footnote Text Char Char Char Char Car,Footnote reference Car,FA Fu Car,Footnote Text Char Char Char Car1,Footnote Text Char Char Char Car Car,ft Car,texto de nota al pie Car,Car1 Car"/>
    <w:uiPriority w:val="99"/>
    <w:locked/>
    <w:rsid w:val="00911C54"/>
    <w:rPr>
      <w:lang w:val="x-none"/>
    </w:rPr>
  </w:style>
  <w:style w:type="paragraph" w:customStyle="1" w:styleId="western">
    <w:name w:val="western"/>
    <w:basedOn w:val="Normal"/>
    <w:rsid w:val="0021571E"/>
    <w:pPr>
      <w:spacing w:before="100" w:beforeAutospacing="1" w:after="100" w:afterAutospacing="1"/>
    </w:pPr>
    <w:rPr>
      <w:rFonts w:ascii="Times New Roman" w:eastAsia="Times New Roman" w:hAnsi="Times New Roman"/>
      <w:sz w:val="24"/>
      <w:szCs w:val="24"/>
      <w:lang w:eastAsia="es-CO"/>
    </w:rPr>
  </w:style>
  <w:style w:type="character" w:customStyle="1" w:styleId="normaltextrun">
    <w:name w:val="normaltextrun"/>
    <w:basedOn w:val="Fuentedeprrafopredeter"/>
    <w:rsid w:val="00237D4E"/>
  </w:style>
  <w:style w:type="character" w:customStyle="1" w:styleId="eop">
    <w:name w:val="eop"/>
    <w:basedOn w:val="Fuentedeprrafopredeter"/>
    <w:rsid w:val="00237D4E"/>
  </w:style>
  <w:style w:type="paragraph" w:customStyle="1" w:styleId="paragraph">
    <w:name w:val="paragraph"/>
    <w:basedOn w:val="Normal"/>
    <w:rsid w:val="00237D4E"/>
    <w:pPr>
      <w:spacing w:before="100" w:beforeAutospacing="1" w:after="100" w:afterAutospacing="1"/>
    </w:pPr>
    <w:rPr>
      <w:rFonts w:ascii="Times New Roman" w:eastAsia="Times New Roman" w:hAnsi="Times New Roman"/>
      <w:sz w:val="24"/>
      <w:szCs w:val="24"/>
      <w:lang w:val="es-MX" w:eastAsia="es-MX"/>
    </w:rPr>
  </w:style>
  <w:style w:type="character" w:styleId="Refdecomentario">
    <w:name w:val="annotation reference"/>
    <w:basedOn w:val="Fuentedeprrafopredeter"/>
    <w:uiPriority w:val="99"/>
    <w:semiHidden/>
    <w:unhideWhenUsed/>
    <w:rsid w:val="00F32057"/>
    <w:rPr>
      <w:sz w:val="16"/>
      <w:szCs w:val="16"/>
    </w:rPr>
  </w:style>
  <w:style w:type="paragraph" w:styleId="Textocomentario">
    <w:name w:val="annotation text"/>
    <w:basedOn w:val="Normal"/>
    <w:link w:val="TextocomentarioCar"/>
    <w:uiPriority w:val="99"/>
    <w:unhideWhenUsed/>
    <w:rsid w:val="00F32057"/>
    <w:rPr>
      <w:sz w:val="20"/>
      <w:szCs w:val="20"/>
    </w:rPr>
  </w:style>
  <w:style w:type="character" w:customStyle="1" w:styleId="TextocomentarioCar">
    <w:name w:val="Texto comentario Car"/>
    <w:basedOn w:val="Fuentedeprrafopredeter"/>
    <w:link w:val="Textocomentario"/>
    <w:uiPriority w:val="99"/>
    <w:rsid w:val="00F32057"/>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F32057"/>
    <w:rPr>
      <w:b/>
      <w:bCs/>
    </w:rPr>
  </w:style>
  <w:style w:type="character" w:customStyle="1" w:styleId="AsuntodelcomentarioCar">
    <w:name w:val="Asunto del comentario Car"/>
    <w:basedOn w:val="TextocomentarioCar"/>
    <w:link w:val="Asuntodelcomentario"/>
    <w:uiPriority w:val="99"/>
    <w:semiHidden/>
    <w:rsid w:val="00F32057"/>
    <w:rPr>
      <w:rFonts w:ascii="Calibri" w:eastAsia="Calibri" w:hAnsi="Calibri" w:cs="Times New Roman"/>
      <w:b/>
      <w:bCs/>
      <w:sz w:val="20"/>
      <w:szCs w:val="20"/>
      <w:lang w:val="es-CO"/>
    </w:rPr>
  </w:style>
  <w:style w:type="character" w:customStyle="1" w:styleId="cf01">
    <w:name w:val="cf01"/>
    <w:basedOn w:val="Fuentedeprrafopredeter"/>
    <w:rsid w:val="00D145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4003">
      <w:bodyDiv w:val="1"/>
      <w:marLeft w:val="0"/>
      <w:marRight w:val="0"/>
      <w:marTop w:val="0"/>
      <w:marBottom w:val="0"/>
      <w:divBdr>
        <w:top w:val="none" w:sz="0" w:space="0" w:color="auto"/>
        <w:left w:val="none" w:sz="0" w:space="0" w:color="auto"/>
        <w:bottom w:val="none" w:sz="0" w:space="0" w:color="auto"/>
        <w:right w:val="none" w:sz="0" w:space="0" w:color="auto"/>
      </w:divBdr>
    </w:div>
    <w:div w:id="1406297943">
      <w:bodyDiv w:val="1"/>
      <w:marLeft w:val="0"/>
      <w:marRight w:val="0"/>
      <w:marTop w:val="0"/>
      <w:marBottom w:val="0"/>
      <w:divBdr>
        <w:top w:val="none" w:sz="0" w:space="0" w:color="auto"/>
        <w:left w:val="none" w:sz="0" w:space="0" w:color="auto"/>
        <w:bottom w:val="none" w:sz="0" w:space="0" w:color="auto"/>
        <w:right w:val="none" w:sz="0" w:space="0" w:color="auto"/>
      </w:divBdr>
      <w:divsChild>
        <w:div w:id="1400905024">
          <w:marLeft w:val="0"/>
          <w:marRight w:val="0"/>
          <w:marTop w:val="0"/>
          <w:marBottom w:val="0"/>
          <w:divBdr>
            <w:top w:val="none" w:sz="0" w:space="0" w:color="auto"/>
            <w:left w:val="none" w:sz="0" w:space="0" w:color="auto"/>
            <w:bottom w:val="none" w:sz="0" w:space="0" w:color="auto"/>
            <w:right w:val="none" w:sz="0" w:space="0" w:color="auto"/>
          </w:divBdr>
        </w:div>
        <w:div w:id="1108236565">
          <w:marLeft w:val="0"/>
          <w:marRight w:val="0"/>
          <w:marTop w:val="0"/>
          <w:marBottom w:val="0"/>
          <w:divBdr>
            <w:top w:val="none" w:sz="0" w:space="0" w:color="auto"/>
            <w:left w:val="none" w:sz="0" w:space="0" w:color="auto"/>
            <w:bottom w:val="none" w:sz="0" w:space="0" w:color="auto"/>
            <w:right w:val="none" w:sz="0" w:space="0" w:color="auto"/>
          </w:divBdr>
        </w:div>
        <w:div w:id="321810599">
          <w:marLeft w:val="0"/>
          <w:marRight w:val="0"/>
          <w:marTop w:val="0"/>
          <w:marBottom w:val="0"/>
          <w:divBdr>
            <w:top w:val="none" w:sz="0" w:space="0" w:color="auto"/>
            <w:left w:val="none" w:sz="0" w:space="0" w:color="auto"/>
            <w:bottom w:val="none" w:sz="0" w:space="0" w:color="auto"/>
            <w:right w:val="none" w:sz="0" w:space="0" w:color="auto"/>
          </w:divBdr>
        </w:div>
      </w:divsChild>
    </w:div>
    <w:div w:id="1603025266">
      <w:bodyDiv w:val="1"/>
      <w:marLeft w:val="0"/>
      <w:marRight w:val="0"/>
      <w:marTop w:val="0"/>
      <w:marBottom w:val="0"/>
      <w:divBdr>
        <w:top w:val="none" w:sz="0" w:space="0" w:color="auto"/>
        <w:left w:val="none" w:sz="0" w:space="0" w:color="auto"/>
        <w:bottom w:val="none" w:sz="0" w:space="0" w:color="auto"/>
        <w:right w:val="none" w:sz="0" w:space="0" w:color="auto"/>
      </w:divBdr>
      <w:divsChild>
        <w:div w:id="812258179">
          <w:marLeft w:val="0"/>
          <w:marRight w:val="0"/>
          <w:marTop w:val="0"/>
          <w:marBottom w:val="0"/>
          <w:divBdr>
            <w:top w:val="none" w:sz="0" w:space="0" w:color="auto"/>
            <w:left w:val="none" w:sz="0" w:space="0" w:color="auto"/>
            <w:bottom w:val="none" w:sz="0" w:space="0" w:color="auto"/>
            <w:right w:val="none" w:sz="0" w:space="0" w:color="auto"/>
          </w:divBdr>
        </w:div>
        <w:div w:id="277833088">
          <w:marLeft w:val="0"/>
          <w:marRight w:val="0"/>
          <w:marTop w:val="0"/>
          <w:marBottom w:val="0"/>
          <w:divBdr>
            <w:top w:val="none" w:sz="0" w:space="0" w:color="auto"/>
            <w:left w:val="none" w:sz="0" w:space="0" w:color="auto"/>
            <w:bottom w:val="none" w:sz="0" w:space="0" w:color="auto"/>
            <w:right w:val="none" w:sz="0" w:space="0" w:color="auto"/>
          </w:divBdr>
        </w:div>
        <w:div w:id="93670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https://acuameunier.com/wp-content/uploads/2014/11/icontec-iqnet.png"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3597C-3BA4-4F59-B2F0-16D54843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3198</Words>
  <Characters>18229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CASTELLANOS GARCÍA</dc:creator>
  <cp:keywords/>
  <dc:description/>
  <cp:lastModifiedBy>Usuario de Windows</cp:lastModifiedBy>
  <cp:revision>4</cp:revision>
  <dcterms:created xsi:type="dcterms:W3CDTF">2021-08-23T16:16:00Z</dcterms:created>
  <dcterms:modified xsi:type="dcterms:W3CDTF">2021-08-23T16:17:00Z</dcterms:modified>
</cp:coreProperties>
</file>