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DD1FCF2" w:rsidR="00B713D2" w:rsidRPr="009C0A6B" w:rsidRDefault="00ED4ECD" w:rsidP="00B713D2">
      <w:pPr>
        <w:pStyle w:val="Sinespaciado"/>
        <w:ind w:left="-1134"/>
        <w:rPr>
          <w:rFonts w:ascii="Arial" w:hAnsi="Arial" w:cs="Arial"/>
          <w:b/>
          <w:lang w:val="es-MX"/>
        </w:rPr>
      </w:pPr>
      <w:r w:rsidRPr="009C0A6B">
        <w:rPr>
          <w:rFonts w:ascii="Arial" w:eastAsia="Calibri" w:hAnsi="Arial" w:cs="Arial"/>
          <w:b/>
          <w:lang w:val="es-MX"/>
        </w:rPr>
        <w:t>Elaborada por:</w:t>
      </w:r>
      <w:r w:rsidR="00B3424B" w:rsidRPr="009C0A6B">
        <w:rPr>
          <w:rFonts w:ascii="Arial" w:eastAsia="Calibri" w:hAnsi="Arial" w:cs="Arial"/>
          <w:b/>
          <w:lang w:val="es-MX"/>
        </w:rPr>
        <w:t xml:space="preserve"> ANDY ALEXANDER IBARRA USTARIZ</w:t>
      </w:r>
    </w:p>
    <w:p w14:paraId="5F7DBDD4" w14:textId="4011D44D" w:rsidR="00ED4ECD" w:rsidRPr="001F2D25" w:rsidRDefault="007C2997" w:rsidP="00B713D2">
      <w:pPr>
        <w:pStyle w:val="Sinespaciado"/>
        <w:ind w:left="-1134"/>
        <w:rPr>
          <w:rFonts w:ascii="Arial" w:hAnsi="Arial" w:cs="Arial"/>
          <w:lang w:val="es-MX"/>
        </w:rPr>
      </w:pPr>
      <w:r>
        <w:rPr>
          <w:rFonts w:ascii="Arial" w:hAnsi="Arial" w:cs="Arial"/>
          <w:lang w:val="es-MX"/>
        </w:rPr>
        <w:t xml:space="preserve">Fecha: </w:t>
      </w:r>
      <w:r w:rsidR="00B3424B">
        <w:rPr>
          <w:rFonts w:ascii="Arial" w:hAnsi="Arial" w:cs="Arial"/>
          <w:lang w:val="es-MX"/>
        </w:rPr>
        <w:t>26 DE AGOSTO DE 2021</w:t>
      </w:r>
    </w:p>
    <w:p w14:paraId="75E84AC6" w14:textId="5052A8D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C2997">
        <w:rPr>
          <w:rFonts w:ascii="Arial" w:hAnsi="Arial" w:cs="Arial"/>
          <w:lang w:val="es-MX"/>
        </w:rPr>
        <w:t>CONTRACTUAL</w:t>
      </w:r>
    </w:p>
    <w:p w14:paraId="6B89892F" w14:textId="34DE8C8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C2997">
        <w:rPr>
          <w:rFonts w:ascii="Arial" w:hAnsi="Arial" w:cs="Arial"/>
          <w:lang w:val="es-MX"/>
        </w:rPr>
        <w:t xml:space="preserve"> CLAUDIA SERRANO Y OTROS</w:t>
      </w:r>
    </w:p>
    <w:p w14:paraId="1660C8A3" w14:textId="7E156BF8"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7C2997">
        <w:rPr>
          <w:rFonts w:ascii="Arial" w:hAnsi="Arial" w:cs="Arial"/>
          <w:lang w:val="es-MX"/>
        </w:rPr>
        <w:t xml:space="preserve"> MUNICIPIO DE CURUMANI</w:t>
      </w:r>
    </w:p>
    <w:p w14:paraId="1F62B483" w14:textId="3A472EAC" w:rsidR="00D5113B" w:rsidRPr="001F2D25" w:rsidRDefault="00D5113B" w:rsidP="00B713D2">
      <w:pPr>
        <w:pStyle w:val="Sinespaciado"/>
        <w:ind w:left="-1134"/>
        <w:rPr>
          <w:rFonts w:ascii="Arial" w:hAnsi="Arial" w:cs="Arial"/>
          <w:lang w:val="es-MX"/>
        </w:rPr>
      </w:pPr>
      <w:r>
        <w:rPr>
          <w:rFonts w:ascii="Arial" w:hAnsi="Arial" w:cs="Arial"/>
          <w:lang w:val="es-MX"/>
        </w:rPr>
        <w:t>RAD.: 2020-000167 (JUZGADO SÉPTIMO ADMINISTRATIVO DE VALLEDUPAR).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476F746">
                      <wp:simplePos x="0" y="0"/>
                      <wp:positionH relativeFrom="column">
                        <wp:posOffset>3125062</wp:posOffset>
                      </wp:positionH>
                      <wp:positionV relativeFrom="paragraph">
                        <wp:posOffset>155196</wp:posOffset>
                      </wp:positionV>
                      <wp:extent cx="250441" cy="238836"/>
                      <wp:effectExtent l="0" t="0" r="16510" b="27940"/>
                      <wp:wrapNone/>
                      <wp:docPr id="6" name="Rectángulo 6"/>
                      <wp:cNvGraphicFramePr/>
                      <a:graphic xmlns:a="http://schemas.openxmlformats.org/drawingml/2006/main">
                        <a:graphicData uri="http://schemas.microsoft.com/office/word/2010/wordprocessingShape">
                          <wps:wsp>
                            <wps:cNvSpPr/>
                            <wps:spPr>
                              <a:xfrm>
                                <a:off x="0" y="0"/>
                                <a:ext cx="250441" cy="23883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992634" w14:textId="244DA0F6" w:rsidR="007C2997" w:rsidRDefault="00E513F2" w:rsidP="007C299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05pt;margin-top:12.2pt;width:19.7pt;height:1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" fillcolor="white [3201]" strokecolor="#70ad47 [3209]" strokeweight="1pt">
                      <v:textbox>
                        <w:txbxContent>
                          <w:p w14:paraId="21992634" w14:textId="244DA0F6" w:rsidR="007C2997" w:rsidRDefault="00E513F2" w:rsidP="007C2997">
                            <w:pPr>
                              <w:jc w:val="center"/>
                            </w:pPr>
                            <w:r>
                              <w:t>X</w:t>
                            </w:r>
                          </w:p>
                        </w:txbxContent>
                      </v:textbox>
                    </v:rect>
                  </w:pict>
                </mc:Fallback>
              </mc:AlternateContent>
            </w:r>
          </w:p>
          <w:p w14:paraId="0884ED88" w14:textId="77777777" w:rsidR="00341FFF" w:rsidRPr="009C0A6B" w:rsidRDefault="00341FFF" w:rsidP="00341FFF">
            <w:pPr>
              <w:pStyle w:val="Sinespaciado"/>
              <w:ind w:left="708"/>
              <w:jc w:val="both"/>
              <w:rPr>
                <w:rFonts w:ascii="Arial" w:hAnsi="Arial" w:cs="Arial"/>
                <w:color w:val="FF0000"/>
              </w:rPr>
            </w:pPr>
            <w:r w:rsidRPr="009C0A6B">
              <w:rPr>
                <w:rFonts w:ascii="Arial" w:hAnsi="Arial" w:cs="Arial"/>
                <w:b/>
                <w:bCs/>
                <w:color w:val="FF0000"/>
              </w:rPr>
              <w:t>b)</w:t>
            </w:r>
            <w:r w:rsidRPr="009C0A6B">
              <w:rPr>
                <w:rFonts w:ascii="Arial" w:hAnsi="Arial" w:cs="Arial"/>
                <w:color w:val="FF0000"/>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124C393" w14:textId="77777777" w:rsidR="00F57547" w:rsidRDefault="00C5649B" w:rsidP="00C5649B">
            <w:pPr>
              <w:pStyle w:val="Sinespaciado"/>
              <w:jc w:val="both"/>
              <w:rPr>
                <w:rFonts w:ascii="Arial" w:hAnsi="Arial" w:cs="Arial"/>
                <w:iCs/>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p w14:paraId="40ED8F33" w14:textId="77777777" w:rsidR="00E513F2" w:rsidRDefault="00E513F2" w:rsidP="00E513F2">
            <w:pPr>
              <w:pStyle w:val="Sinespaciado"/>
              <w:jc w:val="both"/>
              <w:rPr>
                <w:rFonts w:ascii="Arial" w:eastAsia="Calibri" w:hAnsi="Arial" w:cs="Arial"/>
                <w:lang w:val="es-MX"/>
              </w:rPr>
            </w:pPr>
          </w:p>
          <w:p w14:paraId="749B66CC" w14:textId="0686A031" w:rsidR="00D5113B" w:rsidRPr="00D5113B" w:rsidRDefault="00D5113B" w:rsidP="00E513F2">
            <w:pPr>
              <w:pStyle w:val="Sinespaciado"/>
              <w:jc w:val="both"/>
              <w:rPr>
                <w:rFonts w:ascii="Arial" w:eastAsia="Calibri" w:hAnsi="Arial" w:cs="Arial"/>
                <w:color w:val="FF0000"/>
                <w:lang w:val="es-MX"/>
              </w:rPr>
            </w:pPr>
            <w:r w:rsidRPr="00D5113B">
              <w:rPr>
                <w:rFonts w:ascii="Arial" w:eastAsia="Calibri" w:hAnsi="Arial" w:cs="Arial"/>
                <w:b/>
                <w:color w:val="FF0000"/>
                <w:lang w:val="es-MX"/>
              </w:rPr>
              <w:t>Nota:</w:t>
            </w:r>
            <w:r w:rsidRPr="00D5113B">
              <w:rPr>
                <w:rFonts w:ascii="Arial" w:eastAsia="Calibri" w:hAnsi="Arial" w:cs="Arial"/>
                <w:color w:val="FF0000"/>
                <w:lang w:val="es-MX"/>
              </w:rPr>
              <w:t xml:space="preserve"> En asunto bajo estudio también aplica esta causal para dictar sentencia anticipada, por </w:t>
            </w:r>
            <w:r>
              <w:rPr>
                <w:rFonts w:ascii="Arial" w:eastAsia="Calibri" w:hAnsi="Arial" w:cs="Arial"/>
                <w:color w:val="FF0000"/>
                <w:lang w:val="es-MX"/>
              </w:rPr>
              <w:t xml:space="preserve">haber </w:t>
            </w:r>
            <w:r w:rsidRPr="00D5113B">
              <w:rPr>
                <w:rFonts w:ascii="Arial" w:eastAsia="Calibri" w:hAnsi="Arial" w:cs="Arial"/>
                <w:color w:val="FF0000"/>
                <w:lang w:val="es-MX"/>
              </w:rPr>
              <w:t>operado la caducidad de la acción</w:t>
            </w:r>
            <w:r>
              <w:rPr>
                <w:rFonts w:ascii="Arial" w:eastAsia="Calibri" w:hAnsi="Arial" w:cs="Arial"/>
                <w:color w:val="FF0000"/>
                <w:lang w:val="es-MX"/>
              </w:rPr>
              <w:t xml:space="preserve"> como se invoca por la parte demandada en el acápite de excepciones. </w:t>
            </w:r>
            <w:r w:rsidRPr="00D5113B">
              <w:rPr>
                <w:rFonts w:ascii="Arial" w:eastAsia="Calibri" w:hAnsi="Arial" w:cs="Arial"/>
                <w:b/>
                <w:color w:val="FF0000"/>
                <w:lang w:val="es-MX"/>
              </w:rPr>
              <w:t xml:space="preserve"> </w:t>
            </w:r>
          </w:p>
          <w:p w14:paraId="58B004BF" w14:textId="77777777" w:rsidR="00D5113B" w:rsidRPr="001F2D25" w:rsidRDefault="00D5113B" w:rsidP="00E513F2">
            <w:pPr>
              <w:pStyle w:val="Sinespaciado"/>
              <w:jc w:val="both"/>
              <w:rPr>
                <w:rFonts w:ascii="Arial" w:eastAsia="Calibri" w:hAnsi="Arial" w:cs="Arial"/>
                <w:lang w:val="es-MX"/>
              </w:rPr>
            </w:pP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5C7FE699" w14:textId="77777777" w:rsidR="00D5113B" w:rsidRDefault="00D5113B" w:rsidP="00D5113B">
      <w:pPr>
        <w:pStyle w:val="Sinespaciado"/>
        <w:ind w:left="-1134"/>
        <w:rPr>
          <w:rFonts w:ascii="Arial" w:hAnsi="Arial" w:cs="Arial"/>
          <w:lang w:val="es-MX"/>
        </w:rPr>
      </w:pPr>
    </w:p>
    <w:p w14:paraId="0478CE51" w14:textId="33299AF0" w:rsidR="003730CA" w:rsidRDefault="003730CA" w:rsidP="009C0A6B">
      <w:pPr>
        <w:pStyle w:val="Sinespaciado"/>
        <w:ind w:left="-1134"/>
        <w:jc w:val="center"/>
        <w:rPr>
          <w:rFonts w:ascii="Arial" w:hAnsi="Arial" w:cs="Arial"/>
          <w:b/>
          <w:color w:val="FF0000"/>
          <w:lang w:val="es-MX"/>
        </w:rPr>
      </w:pPr>
      <w:r>
        <w:rPr>
          <w:rFonts w:ascii="Arial" w:hAnsi="Arial" w:cs="Arial"/>
          <w:b/>
          <w:color w:val="FF0000"/>
          <w:lang w:val="es-MX"/>
        </w:rPr>
        <w:t xml:space="preserve">ASUNTO </w:t>
      </w:r>
      <w:r w:rsidR="002719CA">
        <w:rPr>
          <w:rFonts w:ascii="Arial" w:hAnsi="Arial" w:cs="Arial"/>
          <w:b/>
          <w:color w:val="FF0000"/>
          <w:lang w:val="es-MX"/>
        </w:rPr>
        <w:t>OBJETO DE</w:t>
      </w:r>
      <w:r>
        <w:rPr>
          <w:rFonts w:ascii="Arial" w:hAnsi="Arial" w:cs="Arial"/>
          <w:b/>
          <w:color w:val="FF0000"/>
          <w:lang w:val="es-MX"/>
        </w:rPr>
        <w:t xml:space="preserve"> ESTUDIO (J</w:t>
      </w:r>
      <w:r w:rsidR="00D30F47">
        <w:rPr>
          <w:rFonts w:ascii="Arial" w:hAnsi="Arial" w:cs="Arial"/>
          <w:b/>
          <w:color w:val="FF0000"/>
          <w:lang w:val="es-MX"/>
        </w:rPr>
        <w:t>uzgado Séptimo Administrativo de Valledupar</w:t>
      </w:r>
      <w:r>
        <w:rPr>
          <w:rFonts w:ascii="Arial" w:hAnsi="Arial" w:cs="Arial"/>
          <w:b/>
          <w:color w:val="FF0000"/>
          <w:lang w:val="es-MX"/>
        </w:rPr>
        <w:t>)</w:t>
      </w:r>
    </w:p>
    <w:p w14:paraId="543CDBBF" w14:textId="77777777" w:rsidR="003730CA" w:rsidRDefault="003730CA" w:rsidP="009C0A6B">
      <w:pPr>
        <w:pStyle w:val="Sinespaciado"/>
        <w:ind w:left="-1134"/>
        <w:jc w:val="center"/>
        <w:rPr>
          <w:rFonts w:ascii="Arial" w:hAnsi="Arial" w:cs="Arial"/>
          <w:b/>
          <w:color w:val="FF0000"/>
          <w:lang w:val="es-MX"/>
        </w:rPr>
      </w:pPr>
    </w:p>
    <w:p w14:paraId="3DC70784" w14:textId="77777777" w:rsidR="003730CA" w:rsidRDefault="003730CA" w:rsidP="009C0A6B">
      <w:pPr>
        <w:pStyle w:val="Sinespaciado"/>
        <w:ind w:left="-1134"/>
        <w:jc w:val="center"/>
        <w:rPr>
          <w:rFonts w:ascii="Arial" w:hAnsi="Arial" w:cs="Arial"/>
          <w:b/>
          <w:color w:val="FF0000"/>
          <w:lang w:val="es-MX"/>
        </w:rPr>
      </w:pPr>
    </w:p>
    <w:p w14:paraId="298FBD03" w14:textId="77777777" w:rsidR="003730CA" w:rsidRDefault="003730CA" w:rsidP="009C0A6B">
      <w:pPr>
        <w:pStyle w:val="Sinespaciado"/>
        <w:ind w:left="-1134"/>
        <w:jc w:val="center"/>
        <w:rPr>
          <w:rFonts w:ascii="Arial" w:hAnsi="Arial" w:cs="Arial"/>
          <w:b/>
          <w:color w:val="FF0000"/>
          <w:lang w:val="es-MX"/>
        </w:rPr>
      </w:pPr>
    </w:p>
    <w:p w14:paraId="1997745A" w14:textId="77777777" w:rsidR="00D5113B" w:rsidRPr="009C0A6B" w:rsidRDefault="00D5113B" w:rsidP="009C0A6B">
      <w:pPr>
        <w:pStyle w:val="Sinespaciado"/>
        <w:ind w:left="-1134"/>
        <w:jc w:val="center"/>
        <w:rPr>
          <w:rFonts w:ascii="Arial" w:hAnsi="Arial" w:cs="Arial"/>
          <w:color w:val="FF0000"/>
          <w:lang w:val="es-MX"/>
        </w:rPr>
      </w:pPr>
      <w:r w:rsidRPr="009C0A6B">
        <w:rPr>
          <w:rFonts w:ascii="Arial" w:hAnsi="Arial" w:cs="Arial"/>
          <w:b/>
          <w:color w:val="FF0000"/>
          <w:lang w:val="es-MX"/>
        </w:rPr>
        <w:lastRenderedPageBreak/>
        <w:t>Medio de control:</w:t>
      </w:r>
      <w:r w:rsidRPr="009C0A6B">
        <w:rPr>
          <w:rFonts w:ascii="Arial" w:hAnsi="Arial" w:cs="Arial"/>
          <w:color w:val="FF0000"/>
          <w:lang w:val="es-MX"/>
        </w:rPr>
        <w:t xml:space="preserve"> CONTRACTUAL</w:t>
      </w:r>
    </w:p>
    <w:p w14:paraId="6257682D" w14:textId="77777777" w:rsidR="00D5113B" w:rsidRPr="009C0A6B" w:rsidRDefault="00D5113B" w:rsidP="009C0A6B">
      <w:pPr>
        <w:pStyle w:val="Sinespaciado"/>
        <w:ind w:left="-1134"/>
        <w:jc w:val="center"/>
        <w:rPr>
          <w:rFonts w:ascii="Arial" w:hAnsi="Arial" w:cs="Arial"/>
          <w:color w:val="FF0000"/>
          <w:lang w:val="es-MX"/>
        </w:rPr>
      </w:pPr>
      <w:r w:rsidRPr="009C0A6B">
        <w:rPr>
          <w:rFonts w:ascii="Arial" w:hAnsi="Arial" w:cs="Arial"/>
          <w:b/>
          <w:color w:val="FF0000"/>
          <w:lang w:val="es-MX"/>
        </w:rPr>
        <w:t>Demandante:</w:t>
      </w:r>
      <w:r w:rsidRPr="009C0A6B">
        <w:rPr>
          <w:rFonts w:ascii="Arial" w:hAnsi="Arial" w:cs="Arial"/>
          <w:color w:val="FF0000"/>
          <w:lang w:val="es-MX"/>
        </w:rPr>
        <w:t xml:space="preserve"> CLAUDIA SERRANO Y OTROS</w:t>
      </w:r>
    </w:p>
    <w:p w14:paraId="6E94F9C2" w14:textId="77777777" w:rsidR="00D5113B" w:rsidRPr="009C0A6B" w:rsidRDefault="00D5113B" w:rsidP="009C0A6B">
      <w:pPr>
        <w:pStyle w:val="Sinespaciado"/>
        <w:ind w:left="-1134"/>
        <w:jc w:val="center"/>
        <w:rPr>
          <w:rFonts w:ascii="Arial" w:hAnsi="Arial" w:cs="Arial"/>
          <w:color w:val="FF0000"/>
          <w:lang w:val="es-MX"/>
        </w:rPr>
      </w:pPr>
      <w:r w:rsidRPr="009C0A6B">
        <w:rPr>
          <w:rFonts w:ascii="Arial" w:hAnsi="Arial" w:cs="Arial"/>
          <w:b/>
          <w:color w:val="FF0000"/>
          <w:lang w:val="es-MX"/>
        </w:rPr>
        <w:t>Demandado:</w:t>
      </w:r>
      <w:r w:rsidRPr="009C0A6B">
        <w:rPr>
          <w:rFonts w:ascii="Arial" w:hAnsi="Arial" w:cs="Arial"/>
          <w:color w:val="FF0000"/>
          <w:lang w:val="es-MX"/>
        </w:rPr>
        <w:t xml:space="preserve"> MUNICIPIO DE CURUMANI</w:t>
      </w:r>
    </w:p>
    <w:p w14:paraId="496D037C" w14:textId="77777777" w:rsidR="00D5113B" w:rsidRPr="009C0A6B" w:rsidRDefault="00D5113B" w:rsidP="00D5113B">
      <w:pPr>
        <w:pStyle w:val="Sinespaciado"/>
        <w:ind w:left="-1134"/>
        <w:rPr>
          <w:rFonts w:ascii="Arial" w:hAnsi="Arial" w:cs="Arial"/>
          <w:color w:val="FF0000"/>
          <w:lang w:val="es-MX"/>
        </w:rPr>
      </w:pPr>
    </w:p>
    <w:p w14:paraId="16A2F21B" w14:textId="2DA67198" w:rsidR="009C0A6B" w:rsidRDefault="009C0A6B" w:rsidP="00D5113B">
      <w:pPr>
        <w:pStyle w:val="Sinespaciado"/>
        <w:ind w:left="-1134"/>
        <w:jc w:val="both"/>
        <w:rPr>
          <w:rFonts w:ascii="Arial" w:hAnsi="Arial" w:cs="Arial"/>
          <w:b/>
        </w:rPr>
      </w:pPr>
      <w:r>
        <w:rPr>
          <w:rFonts w:ascii="Arial" w:hAnsi="Arial" w:cs="Arial"/>
          <w:b/>
        </w:rPr>
        <w:t xml:space="preserve">1.- </w:t>
      </w:r>
      <w:r w:rsidR="00D5113B" w:rsidRPr="00D5113B">
        <w:rPr>
          <w:rFonts w:ascii="Arial" w:hAnsi="Arial" w:cs="Arial"/>
          <w:b/>
        </w:rPr>
        <w:t>Hechos</w:t>
      </w:r>
      <w:r>
        <w:rPr>
          <w:rFonts w:ascii="Arial" w:hAnsi="Arial" w:cs="Arial"/>
          <w:b/>
        </w:rPr>
        <w:t xml:space="preserve"> de la demanda</w:t>
      </w:r>
      <w:r w:rsidR="00D5113B" w:rsidRPr="00D5113B">
        <w:rPr>
          <w:rFonts w:ascii="Arial" w:hAnsi="Arial" w:cs="Arial"/>
          <w:b/>
        </w:rPr>
        <w:t xml:space="preserve">: </w:t>
      </w:r>
    </w:p>
    <w:p w14:paraId="0F998ABE" w14:textId="77777777" w:rsidR="009C0A6B" w:rsidRDefault="009C0A6B" w:rsidP="00D5113B">
      <w:pPr>
        <w:pStyle w:val="Sinespaciado"/>
        <w:ind w:left="-1134"/>
        <w:jc w:val="both"/>
        <w:rPr>
          <w:rFonts w:ascii="Arial" w:hAnsi="Arial" w:cs="Arial"/>
          <w:b/>
        </w:rPr>
      </w:pPr>
    </w:p>
    <w:p w14:paraId="106C5C24" w14:textId="77777777" w:rsidR="009C0A6B" w:rsidRDefault="009C0A6B" w:rsidP="00D5113B">
      <w:pPr>
        <w:pStyle w:val="Sinespaciado"/>
        <w:ind w:left="-1134"/>
        <w:jc w:val="both"/>
        <w:rPr>
          <w:rFonts w:ascii="Arial" w:hAnsi="Arial" w:cs="Arial"/>
        </w:rPr>
      </w:pPr>
      <w:r w:rsidRPr="009C0A6B">
        <w:rPr>
          <w:rFonts w:ascii="Arial" w:hAnsi="Arial" w:cs="Arial"/>
        </w:rPr>
        <w:t xml:space="preserve">Fue celebrado </w:t>
      </w:r>
      <w:r w:rsidR="00D5113B" w:rsidRPr="009C0A6B">
        <w:rPr>
          <w:rFonts w:ascii="Arial" w:hAnsi="Arial" w:cs="Arial"/>
        </w:rPr>
        <w:t>Contrato</w:t>
      </w:r>
      <w:r w:rsidR="00D5113B" w:rsidRPr="00D5113B">
        <w:rPr>
          <w:rFonts w:ascii="Arial" w:hAnsi="Arial" w:cs="Arial"/>
        </w:rPr>
        <w:t xml:space="preserve"> No. 2007-003 suscrito el 30 de marzo de 2007 entre el señor Alberto Serrano Lynton en calidad de arrendador y el Municipio de Curumaní en calidad de arrendatario (Plazo 9 meses)</w:t>
      </w:r>
      <w:r w:rsidR="00D5113B">
        <w:rPr>
          <w:rFonts w:ascii="Arial" w:hAnsi="Arial" w:cs="Arial"/>
        </w:rPr>
        <w:t xml:space="preserve">. </w:t>
      </w:r>
    </w:p>
    <w:p w14:paraId="2861F77A" w14:textId="77777777" w:rsidR="009C0A6B" w:rsidRDefault="009C0A6B" w:rsidP="00D5113B">
      <w:pPr>
        <w:pStyle w:val="Sinespaciado"/>
        <w:ind w:left="-1134"/>
        <w:jc w:val="both"/>
        <w:rPr>
          <w:rFonts w:ascii="Arial" w:hAnsi="Arial" w:cs="Arial"/>
        </w:rPr>
      </w:pPr>
    </w:p>
    <w:p w14:paraId="43B219E2" w14:textId="28177EA3" w:rsidR="00ED4ECD" w:rsidRDefault="00D5113B" w:rsidP="00D5113B">
      <w:pPr>
        <w:pStyle w:val="Sinespaciado"/>
        <w:ind w:left="-1134"/>
        <w:jc w:val="both"/>
        <w:rPr>
          <w:rFonts w:ascii="Arial" w:hAnsi="Arial" w:cs="Arial"/>
        </w:rPr>
      </w:pPr>
      <w:r>
        <w:rPr>
          <w:rFonts w:ascii="Arial" w:hAnsi="Arial" w:cs="Arial"/>
        </w:rPr>
        <w:t>Los ahora demandantes (herederos del arrendador) señalan que el contrato se prorrogó automáticamente año atrás año y alegan el incumplimiento del mismo y reclaman el pago de unos cánones de arrendamiento. (Entre el año 2012 al 2020).</w:t>
      </w:r>
    </w:p>
    <w:p w14:paraId="1E159BFA" w14:textId="77777777" w:rsidR="00D5113B" w:rsidRDefault="00D5113B" w:rsidP="00D5113B">
      <w:pPr>
        <w:pStyle w:val="Sinespaciado"/>
        <w:ind w:left="-1134"/>
        <w:jc w:val="both"/>
        <w:rPr>
          <w:rFonts w:ascii="Arial" w:hAnsi="Arial" w:cs="Arial"/>
          <w:lang w:val="es-MX"/>
        </w:rPr>
      </w:pPr>
    </w:p>
    <w:p w14:paraId="6CC4FB85" w14:textId="656094A8" w:rsidR="009C0A6B" w:rsidRPr="009C0A6B" w:rsidRDefault="009C0A6B" w:rsidP="00D5113B">
      <w:pPr>
        <w:pStyle w:val="Sinespaciado"/>
        <w:ind w:left="-1134"/>
        <w:jc w:val="both"/>
        <w:rPr>
          <w:rFonts w:ascii="Arial" w:hAnsi="Arial" w:cs="Arial"/>
          <w:b/>
          <w:lang w:val="es-MX"/>
        </w:rPr>
      </w:pPr>
      <w:r>
        <w:rPr>
          <w:rFonts w:ascii="Arial" w:hAnsi="Arial" w:cs="Arial"/>
          <w:b/>
          <w:lang w:val="es-MX"/>
        </w:rPr>
        <w:t xml:space="preserve">2.- </w:t>
      </w:r>
      <w:r w:rsidRPr="009C0A6B">
        <w:rPr>
          <w:rFonts w:ascii="Arial" w:hAnsi="Arial" w:cs="Arial"/>
          <w:b/>
          <w:lang w:val="es-MX"/>
        </w:rPr>
        <w:t>¿Por qué es posible dictar sentencia anticipada?</w:t>
      </w:r>
    </w:p>
    <w:p w14:paraId="5BF21EA4" w14:textId="77777777" w:rsidR="009C0A6B" w:rsidRDefault="009C0A6B" w:rsidP="00D5113B">
      <w:pPr>
        <w:pStyle w:val="Sinespaciado"/>
        <w:ind w:left="-1134"/>
        <w:jc w:val="both"/>
        <w:rPr>
          <w:rFonts w:ascii="Arial" w:hAnsi="Arial" w:cs="Arial"/>
          <w:lang w:val="es-MX"/>
        </w:rPr>
      </w:pPr>
    </w:p>
    <w:p w14:paraId="3BB67384" w14:textId="4158F04B" w:rsidR="00D5113B" w:rsidRDefault="00D5113B" w:rsidP="00D5113B">
      <w:pPr>
        <w:pStyle w:val="Sinespaciado"/>
        <w:ind w:left="-1134"/>
        <w:jc w:val="both"/>
        <w:rPr>
          <w:rFonts w:ascii="Arial" w:eastAsia="Calibri" w:hAnsi="Arial" w:cs="Arial"/>
          <w:lang w:val="es-MX"/>
        </w:rPr>
      </w:pPr>
      <w:r>
        <w:rPr>
          <w:rFonts w:ascii="Arial" w:hAnsi="Arial" w:cs="Arial"/>
          <w:lang w:val="es-MX"/>
        </w:rPr>
        <w:t xml:space="preserve">Procede dictar sentencia anticipada porque ni en la demanda ni en contestación se solicitó el decreto y prácticas de pruebas. </w:t>
      </w:r>
      <w:r w:rsidRPr="001F2D25">
        <w:rPr>
          <w:rFonts w:ascii="Arial" w:eastAsia="Calibri" w:hAnsi="Arial" w:cs="Arial"/>
          <w:lang w:val="es-MX"/>
        </w:rPr>
        <w:t>(</w:t>
      </w:r>
      <w:r>
        <w:rPr>
          <w:rFonts w:ascii="Arial" w:eastAsia="Calibri" w:hAnsi="Arial" w:cs="Arial"/>
          <w:lang w:val="es-MX"/>
        </w:rPr>
        <w:t xml:space="preserve">Numeral 1°, literal b, </w:t>
      </w:r>
      <w:r w:rsidRPr="001F2D25">
        <w:rPr>
          <w:rFonts w:ascii="Arial" w:eastAsia="Calibri" w:hAnsi="Arial" w:cs="Arial"/>
          <w:lang w:val="es-MX"/>
        </w:rPr>
        <w:t>del artículo 182A del CPACA)</w:t>
      </w:r>
      <w:r>
        <w:rPr>
          <w:rFonts w:ascii="Arial" w:eastAsia="Calibri" w:hAnsi="Arial" w:cs="Arial"/>
          <w:lang w:val="es-MX"/>
        </w:rPr>
        <w:t xml:space="preserve">. Además, </w:t>
      </w:r>
      <w:r w:rsidR="00D9275F">
        <w:rPr>
          <w:rFonts w:ascii="Arial" w:eastAsia="Calibri" w:hAnsi="Arial" w:cs="Arial"/>
          <w:lang w:val="es-MX"/>
        </w:rPr>
        <w:t xml:space="preserve">procede dictar sentencia anticipada porque la excepción de caducidad está llamada a prosperar </w:t>
      </w:r>
      <w:r w:rsidR="00D9275F" w:rsidRPr="001F2D25">
        <w:rPr>
          <w:rFonts w:ascii="Arial" w:eastAsia="Calibri" w:hAnsi="Arial" w:cs="Arial"/>
          <w:lang w:val="es-MX"/>
        </w:rPr>
        <w:t>(</w:t>
      </w:r>
      <w:r w:rsidR="00D9275F">
        <w:rPr>
          <w:rFonts w:ascii="Arial" w:eastAsia="Calibri" w:hAnsi="Arial" w:cs="Arial"/>
          <w:lang w:val="es-MX"/>
        </w:rPr>
        <w:t xml:space="preserve">Inciso final del parágrafo 2 del artículo 175 del CPACA </w:t>
      </w:r>
      <w:r w:rsidR="00CC7A52">
        <w:rPr>
          <w:rFonts w:ascii="Arial" w:eastAsia="Calibri" w:hAnsi="Arial" w:cs="Arial"/>
          <w:lang w:val="es-MX"/>
        </w:rPr>
        <w:t>[</w:t>
      </w:r>
      <w:r w:rsidR="00D9275F">
        <w:rPr>
          <w:rFonts w:ascii="Arial" w:eastAsia="Calibri" w:hAnsi="Arial" w:cs="Arial"/>
          <w:lang w:val="es-MX"/>
        </w:rPr>
        <w:t>Art. 38 de la Ley 2080 de 2021</w:t>
      </w:r>
      <w:r w:rsidR="00CC7A52">
        <w:rPr>
          <w:rFonts w:ascii="Arial" w:eastAsia="Calibri" w:hAnsi="Arial" w:cs="Arial"/>
          <w:lang w:val="es-MX"/>
        </w:rPr>
        <w:t>]</w:t>
      </w:r>
      <w:r w:rsidR="00D9275F">
        <w:rPr>
          <w:rFonts w:ascii="Arial" w:eastAsia="Calibri" w:hAnsi="Arial" w:cs="Arial"/>
          <w:lang w:val="es-MX"/>
        </w:rPr>
        <w:t xml:space="preserve"> y el numeral 1°, literal b, </w:t>
      </w:r>
      <w:r w:rsidR="00D9275F" w:rsidRPr="001F2D25">
        <w:rPr>
          <w:rFonts w:ascii="Arial" w:eastAsia="Calibri" w:hAnsi="Arial" w:cs="Arial"/>
          <w:lang w:val="es-MX"/>
        </w:rPr>
        <w:t>del artículo 182A del CPACA)</w:t>
      </w:r>
      <w:r w:rsidR="00D9275F">
        <w:rPr>
          <w:rFonts w:ascii="Arial" w:eastAsia="Calibri" w:hAnsi="Arial" w:cs="Arial"/>
          <w:lang w:val="es-MX"/>
        </w:rPr>
        <w:t>.</w:t>
      </w:r>
    </w:p>
    <w:p w14:paraId="07B100BF" w14:textId="77777777" w:rsidR="00D5113B" w:rsidRDefault="00D5113B" w:rsidP="00D5113B">
      <w:pPr>
        <w:pStyle w:val="Sinespaciado"/>
        <w:ind w:left="-1134"/>
        <w:jc w:val="both"/>
        <w:rPr>
          <w:rFonts w:ascii="Arial" w:eastAsia="Calibri" w:hAnsi="Arial" w:cs="Arial"/>
          <w:lang w:val="es-MX"/>
        </w:rPr>
      </w:pPr>
    </w:p>
    <w:p w14:paraId="2C76654C" w14:textId="77777777" w:rsidR="00D5113B" w:rsidRDefault="00D5113B" w:rsidP="00D5113B">
      <w:pPr>
        <w:pStyle w:val="Sinespaciado"/>
        <w:ind w:left="-1134"/>
        <w:jc w:val="both"/>
        <w:rPr>
          <w:rFonts w:ascii="Arial" w:hAnsi="Arial" w:cs="Arial"/>
          <w:lang w:val="es-MX"/>
        </w:rPr>
      </w:pPr>
    </w:p>
    <w:p w14:paraId="34AD3FEE" w14:textId="77777777" w:rsidR="009C0A6B" w:rsidRDefault="009C0A6B" w:rsidP="00D5113B">
      <w:pPr>
        <w:pStyle w:val="Sinespaciado"/>
        <w:ind w:left="-1134"/>
        <w:jc w:val="both"/>
        <w:rPr>
          <w:rFonts w:ascii="Arial" w:hAnsi="Arial" w:cs="Arial"/>
          <w:b/>
          <w:lang w:val="es-MX"/>
        </w:rPr>
      </w:pPr>
      <w:r w:rsidRPr="009C0A6B">
        <w:rPr>
          <w:rFonts w:ascii="Arial" w:hAnsi="Arial" w:cs="Arial"/>
          <w:b/>
          <w:lang w:val="es-MX"/>
        </w:rPr>
        <w:t>3.- Sobre la caducidad</w:t>
      </w:r>
      <w:r>
        <w:rPr>
          <w:rFonts w:ascii="Arial" w:hAnsi="Arial" w:cs="Arial"/>
          <w:b/>
          <w:lang w:val="es-MX"/>
        </w:rPr>
        <w:t xml:space="preserve"> invocada como excepción</w:t>
      </w:r>
      <w:r w:rsidRPr="009C0A6B">
        <w:rPr>
          <w:rFonts w:ascii="Arial" w:hAnsi="Arial" w:cs="Arial"/>
          <w:b/>
          <w:lang w:val="es-MX"/>
        </w:rPr>
        <w:t>.</w:t>
      </w:r>
    </w:p>
    <w:p w14:paraId="73472D3D" w14:textId="77777777" w:rsidR="009C0A6B" w:rsidRDefault="009C0A6B" w:rsidP="00D5113B">
      <w:pPr>
        <w:pStyle w:val="Sinespaciado"/>
        <w:ind w:left="-1134"/>
        <w:jc w:val="both"/>
        <w:rPr>
          <w:rFonts w:ascii="Arial" w:hAnsi="Arial" w:cs="Arial"/>
          <w:b/>
          <w:lang w:val="es-MX"/>
        </w:rPr>
      </w:pPr>
    </w:p>
    <w:p w14:paraId="2297C992" w14:textId="34CC4C57" w:rsidR="00ED4ECD" w:rsidRDefault="009C0A6B" w:rsidP="000E63B8">
      <w:pPr>
        <w:pStyle w:val="Sinespaciado"/>
        <w:ind w:left="-1134"/>
        <w:jc w:val="both"/>
        <w:rPr>
          <w:rFonts w:ascii="Arial" w:hAnsi="Arial" w:cs="Arial"/>
        </w:rPr>
      </w:pPr>
      <w:r w:rsidRPr="009C0A6B">
        <w:rPr>
          <w:rFonts w:ascii="Arial" w:hAnsi="Arial" w:cs="Arial"/>
          <w:lang w:val="es-MX"/>
        </w:rPr>
        <w:t>El</w:t>
      </w:r>
      <w:r>
        <w:rPr>
          <w:rFonts w:ascii="Arial" w:hAnsi="Arial" w:cs="Arial"/>
          <w:b/>
          <w:lang w:val="es-MX"/>
        </w:rPr>
        <w:t xml:space="preserve"> </w:t>
      </w:r>
      <w:r w:rsidRPr="009C0A6B">
        <w:rPr>
          <w:rFonts w:ascii="Arial" w:hAnsi="Arial" w:cs="Arial"/>
        </w:rPr>
        <w:t xml:space="preserve">Contrato No. 2007-003 suscrito el 30 de marzo de 2007, tenía un plazo de 9 meses. </w:t>
      </w:r>
      <w:r>
        <w:rPr>
          <w:rFonts w:ascii="Arial" w:hAnsi="Arial" w:cs="Arial"/>
        </w:rPr>
        <w:t>E</w:t>
      </w:r>
      <w:r w:rsidRPr="009C0A6B">
        <w:rPr>
          <w:rFonts w:ascii="Arial" w:hAnsi="Arial" w:cs="Arial"/>
        </w:rPr>
        <w:t>l literal j) del numeral 2</w:t>
      </w:r>
      <w:r>
        <w:rPr>
          <w:rFonts w:ascii="Arial" w:hAnsi="Arial" w:cs="Arial"/>
        </w:rPr>
        <w:t xml:space="preserve"> del artículo 164 del C.P.A.C.A, establece las reglas de caducidad para este tipo de contratos por lo que habiendo transcurrido poco más de 14 años desde el vencimiento de</w:t>
      </w:r>
      <w:r w:rsidR="000E63B8">
        <w:rPr>
          <w:rFonts w:ascii="Arial" w:hAnsi="Arial" w:cs="Arial"/>
        </w:rPr>
        <w:t>l</w:t>
      </w:r>
      <w:r>
        <w:rPr>
          <w:rFonts w:ascii="Arial" w:hAnsi="Arial" w:cs="Arial"/>
        </w:rPr>
        <w:t xml:space="preserve"> plazo</w:t>
      </w:r>
      <w:r w:rsidR="000E63B8">
        <w:rPr>
          <w:rFonts w:ascii="Arial" w:hAnsi="Arial" w:cs="Arial"/>
        </w:rPr>
        <w:t xml:space="preserve"> del contrato</w:t>
      </w:r>
      <w:r>
        <w:rPr>
          <w:rFonts w:ascii="Arial" w:hAnsi="Arial" w:cs="Arial"/>
        </w:rPr>
        <w:t xml:space="preserve"> hasta la presentación de la solicitud de conciliación prejudicial, </w:t>
      </w:r>
      <w:r w:rsidR="000E63B8">
        <w:rPr>
          <w:rFonts w:ascii="Arial" w:hAnsi="Arial" w:cs="Arial"/>
        </w:rPr>
        <w:t xml:space="preserve">se cierran las puertas de la jurisdicción para </w:t>
      </w:r>
      <w:r>
        <w:rPr>
          <w:rFonts w:ascii="Arial" w:hAnsi="Arial" w:cs="Arial"/>
        </w:rPr>
        <w:t>pretender la declaratoria de incumplimiento del contrato estatal ni la liquidaci</w:t>
      </w:r>
      <w:r w:rsidR="000E63B8">
        <w:rPr>
          <w:rFonts w:ascii="Arial" w:hAnsi="Arial" w:cs="Arial"/>
        </w:rPr>
        <w:t>ón judicial del mismo.</w:t>
      </w:r>
    </w:p>
    <w:p w14:paraId="3562FD36" w14:textId="77777777" w:rsidR="001E02CF" w:rsidRDefault="001E02CF" w:rsidP="000E63B8">
      <w:pPr>
        <w:pStyle w:val="Sinespaciado"/>
        <w:ind w:left="-1134"/>
        <w:jc w:val="both"/>
        <w:rPr>
          <w:rFonts w:ascii="Arial" w:hAnsi="Arial" w:cs="Arial"/>
        </w:rPr>
      </w:pPr>
    </w:p>
    <w:p w14:paraId="3198CED8" w14:textId="1BE680ED" w:rsidR="001E02CF" w:rsidRDefault="001E02CF" w:rsidP="000E63B8">
      <w:pPr>
        <w:pStyle w:val="Sinespaciado"/>
        <w:ind w:left="-1134"/>
        <w:jc w:val="both"/>
        <w:rPr>
          <w:rFonts w:ascii="Arial" w:hAnsi="Arial" w:cs="Arial"/>
          <w:b/>
        </w:rPr>
      </w:pPr>
      <w:r w:rsidRPr="001E02CF">
        <w:rPr>
          <w:rFonts w:ascii="Arial" w:hAnsi="Arial" w:cs="Arial"/>
          <w:b/>
        </w:rPr>
        <w:t xml:space="preserve">4.- </w:t>
      </w:r>
      <w:r>
        <w:rPr>
          <w:rFonts w:ascii="Arial" w:hAnsi="Arial" w:cs="Arial"/>
          <w:b/>
        </w:rPr>
        <w:t>¿Se debe correr traslado para alegar?</w:t>
      </w:r>
    </w:p>
    <w:p w14:paraId="74ECBD57" w14:textId="77777777" w:rsidR="001E02CF" w:rsidRDefault="001E02CF" w:rsidP="000E63B8">
      <w:pPr>
        <w:pStyle w:val="Sinespaciado"/>
        <w:ind w:left="-1134"/>
        <w:jc w:val="both"/>
        <w:rPr>
          <w:rFonts w:ascii="Arial" w:hAnsi="Arial" w:cs="Arial"/>
          <w:b/>
        </w:rPr>
      </w:pPr>
    </w:p>
    <w:p w14:paraId="3928AA1E" w14:textId="5E666F8A" w:rsidR="001E02CF" w:rsidRPr="001E02CF" w:rsidRDefault="001E02CF" w:rsidP="000E63B8">
      <w:pPr>
        <w:pStyle w:val="Sinespaciado"/>
        <w:ind w:left="-1134"/>
        <w:jc w:val="both"/>
        <w:rPr>
          <w:rFonts w:ascii="Arial" w:hAnsi="Arial" w:cs="Arial"/>
        </w:rPr>
      </w:pPr>
      <w:r>
        <w:rPr>
          <w:rFonts w:ascii="Arial" w:eastAsia="Calibri" w:hAnsi="Arial" w:cs="Arial"/>
          <w:lang w:val="es-MX"/>
        </w:rPr>
        <w:t>E</w:t>
      </w:r>
      <w:r w:rsidRPr="001F2D25">
        <w:rPr>
          <w:rFonts w:ascii="Arial" w:eastAsia="Calibri" w:hAnsi="Arial" w:cs="Arial"/>
          <w:lang w:val="es-MX"/>
        </w:rPr>
        <w:t>l artículo 182A del CPACA</w:t>
      </w:r>
      <w:r>
        <w:rPr>
          <w:rFonts w:ascii="Arial" w:eastAsia="Calibri" w:hAnsi="Arial" w:cs="Arial"/>
          <w:lang w:val="es-MX"/>
        </w:rPr>
        <w:t>, señala que cuando se trate de la causal para dictar sentencia anticipada prevista en el nu</w:t>
      </w:r>
      <w:bookmarkStart w:id="0" w:name="_GoBack"/>
      <w:bookmarkEnd w:id="0"/>
      <w:r>
        <w:rPr>
          <w:rFonts w:ascii="Arial" w:eastAsia="Calibri" w:hAnsi="Arial" w:cs="Arial"/>
          <w:lang w:val="es-MX"/>
        </w:rPr>
        <w:t xml:space="preserve">meral 3, debe correr traslado para alegar y precisar sobre cual o cuales de las excepciones se pronunciará. </w:t>
      </w:r>
      <w:r w:rsidR="00D95C0F">
        <w:rPr>
          <w:rFonts w:ascii="Arial" w:eastAsia="Calibri" w:hAnsi="Arial" w:cs="Arial"/>
          <w:lang w:val="es-MX"/>
        </w:rPr>
        <w:t xml:space="preserve">Por lo anterior, queda derogado lo previsto en el artículo 12 del Decreto 806 de 2020, según la cual, entre otras, la excepción mixta de caducidad sería resuelta como lo prevé el CGP para las excepciones previas, esto es, sin correr traslado para alegar. </w:t>
      </w: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F42C0" w14:textId="77777777" w:rsidR="0082238B" w:rsidRDefault="0082238B">
      <w:pPr>
        <w:spacing w:after="0" w:line="240" w:lineRule="auto"/>
      </w:pPr>
      <w:r>
        <w:separator/>
      </w:r>
    </w:p>
  </w:endnote>
  <w:endnote w:type="continuationSeparator" w:id="0">
    <w:p w14:paraId="76179EEA" w14:textId="77777777" w:rsidR="0082238B" w:rsidRDefault="0082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D95C0F" w:rsidRPr="00D95C0F">
          <w:rPr>
            <w:noProof/>
            <w:lang w:val="es-ES"/>
          </w:rPr>
          <w:t>4</w:t>
        </w:r>
        <w:r>
          <w:fldChar w:fldCharType="end"/>
        </w:r>
      </w:p>
    </w:sdtContent>
  </w:sdt>
  <w:p w14:paraId="2521E8EB" w14:textId="77777777" w:rsidR="00224C42" w:rsidRDefault="0082238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D95C0F" w:rsidRPr="00D95C0F">
          <w:rPr>
            <w:noProof/>
            <w:lang w:val="es-ES"/>
          </w:rPr>
          <w:t>1</w:t>
        </w:r>
        <w:r>
          <w:fldChar w:fldCharType="end"/>
        </w:r>
      </w:p>
    </w:sdtContent>
  </w:sdt>
  <w:p w14:paraId="60134C65" w14:textId="77777777" w:rsidR="00224C42" w:rsidRDefault="008223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48F1E" w14:textId="77777777" w:rsidR="0082238B" w:rsidRDefault="0082238B">
      <w:pPr>
        <w:spacing w:after="0" w:line="240" w:lineRule="auto"/>
      </w:pPr>
      <w:r>
        <w:separator/>
      </w:r>
    </w:p>
  </w:footnote>
  <w:footnote w:type="continuationSeparator" w:id="0">
    <w:p w14:paraId="3A8CA07D" w14:textId="77777777" w:rsidR="0082238B" w:rsidRDefault="00822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41EA1"/>
    <w:rsid w:val="000D096A"/>
    <w:rsid w:val="000D6A0D"/>
    <w:rsid w:val="000E63B8"/>
    <w:rsid w:val="000F105D"/>
    <w:rsid w:val="00127C6E"/>
    <w:rsid w:val="001812CC"/>
    <w:rsid w:val="00195C31"/>
    <w:rsid w:val="001C54E3"/>
    <w:rsid w:val="001E02CF"/>
    <w:rsid w:val="001F2D25"/>
    <w:rsid w:val="00222B39"/>
    <w:rsid w:val="00222D4A"/>
    <w:rsid w:val="0023682D"/>
    <w:rsid w:val="00245C3E"/>
    <w:rsid w:val="00266E80"/>
    <w:rsid w:val="002719CA"/>
    <w:rsid w:val="002971BC"/>
    <w:rsid w:val="002E526E"/>
    <w:rsid w:val="002F6A16"/>
    <w:rsid w:val="002F7D1D"/>
    <w:rsid w:val="00306339"/>
    <w:rsid w:val="00341FFF"/>
    <w:rsid w:val="003730CA"/>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C2997"/>
    <w:rsid w:val="007D59E3"/>
    <w:rsid w:val="00806F72"/>
    <w:rsid w:val="0082238B"/>
    <w:rsid w:val="00823B31"/>
    <w:rsid w:val="00857522"/>
    <w:rsid w:val="008769DE"/>
    <w:rsid w:val="00926ADA"/>
    <w:rsid w:val="00965363"/>
    <w:rsid w:val="0096597C"/>
    <w:rsid w:val="009C0A6B"/>
    <w:rsid w:val="009E3199"/>
    <w:rsid w:val="00A22A82"/>
    <w:rsid w:val="00A461DF"/>
    <w:rsid w:val="00A62E46"/>
    <w:rsid w:val="00B3424B"/>
    <w:rsid w:val="00B47DA4"/>
    <w:rsid w:val="00B713D2"/>
    <w:rsid w:val="00BD4169"/>
    <w:rsid w:val="00C43096"/>
    <w:rsid w:val="00C53F95"/>
    <w:rsid w:val="00C5649B"/>
    <w:rsid w:val="00CC64F1"/>
    <w:rsid w:val="00CC7A52"/>
    <w:rsid w:val="00CF03D9"/>
    <w:rsid w:val="00D111DA"/>
    <w:rsid w:val="00D30F47"/>
    <w:rsid w:val="00D5113B"/>
    <w:rsid w:val="00D747D0"/>
    <w:rsid w:val="00D75A67"/>
    <w:rsid w:val="00D9275F"/>
    <w:rsid w:val="00D95C0F"/>
    <w:rsid w:val="00DB38E3"/>
    <w:rsid w:val="00DC796E"/>
    <w:rsid w:val="00DE6DCB"/>
    <w:rsid w:val="00E031FD"/>
    <w:rsid w:val="00E03626"/>
    <w:rsid w:val="00E377AA"/>
    <w:rsid w:val="00E42B7C"/>
    <w:rsid w:val="00E513F2"/>
    <w:rsid w:val="00E61BDD"/>
    <w:rsid w:val="00E93701"/>
    <w:rsid w:val="00EB3514"/>
    <w:rsid w:val="00ED4ECD"/>
    <w:rsid w:val="00EE219B"/>
    <w:rsid w:val="00F35E91"/>
    <w:rsid w:val="00F5058F"/>
    <w:rsid w:val="00F57547"/>
    <w:rsid w:val="00F87F52"/>
    <w:rsid w:val="00FD54EA"/>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37800-9646-4D35-A9DC-63464B6C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1288</Words>
  <Characters>7085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Cuenta Microsoft</cp:lastModifiedBy>
  <cp:revision>15</cp:revision>
  <dcterms:created xsi:type="dcterms:W3CDTF">2021-08-26T17:44:00Z</dcterms:created>
  <dcterms:modified xsi:type="dcterms:W3CDTF">2021-08-26T19:49:00Z</dcterms:modified>
</cp:coreProperties>
</file>