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28D" w:rsidRDefault="000D68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-1000124</wp:posOffset>
            </wp:positionH>
            <wp:positionV relativeFrom="paragraph">
              <wp:posOffset>-240664</wp:posOffset>
            </wp:positionV>
            <wp:extent cx="690880" cy="782320"/>
            <wp:effectExtent l="0" t="0" r="0" b="0"/>
            <wp:wrapNone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D228D" w:rsidRDefault="000D68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ESCUELA JUDICIAL RODRIGO LARA BONILLA</w:t>
      </w:r>
    </w:p>
    <w:p w:rsidR="00DD228D" w:rsidRDefault="000D68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LISTA DE CHEQUEO – ADOPCIÓN DE MEDIDAS PARA DICTAR SENTENCIA ANTICIPADA </w:t>
      </w:r>
    </w:p>
    <w:p w:rsidR="00DD228D" w:rsidRDefault="00DD22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:rsidR="00DD228D" w:rsidRDefault="000D68FB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DISPOSICIONES A APLICAR </w:t>
      </w:r>
    </w:p>
    <w:p w:rsidR="00DD228D" w:rsidRDefault="00DD228D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:rsidR="00DD228D" w:rsidRDefault="000D68FB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Artículo 38 L. 2080 de 2021 (Parágrafo 2° del artículo 175 del CPACA)</w:t>
      </w:r>
    </w:p>
    <w:p w:rsidR="00DD228D" w:rsidRDefault="000D68FB">
      <w:pPr>
        <w:pBdr>
          <w:top w:val="dashed" w:sz="4" w:space="1" w:color="000000"/>
          <w:left w:val="dashed" w:sz="4" w:space="4" w:color="000000"/>
          <w:bottom w:val="dashed" w:sz="4" w:space="1" w:color="000000"/>
          <w:right w:val="dashed" w:sz="4" w:space="4" w:color="000000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Artículo 42 L. 2080 de 2021 (adiciona 182A al CPACA)</w:t>
      </w:r>
    </w:p>
    <w:p w:rsidR="00DD228D" w:rsidRDefault="00DD22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D228D" w:rsidRDefault="000D68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134"/>
        <w:rPr>
          <w:rFonts w:ascii="Arial" w:eastAsia="Arial" w:hAnsi="Arial" w:cs="Arial"/>
          <w:color w:val="000000"/>
        </w:rPr>
      </w:pPr>
      <w:bookmarkStart w:id="0" w:name="_gjdgxs" w:colFirst="0" w:colLast="0"/>
      <w:bookmarkEnd w:id="0"/>
      <w:r>
        <w:rPr>
          <w:rFonts w:ascii="Arial" w:eastAsia="Arial" w:hAnsi="Arial" w:cs="Arial"/>
          <w:color w:val="000000"/>
        </w:rPr>
        <w:t xml:space="preserve">Elaborada por: </w:t>
      </w:r>
      <w:r w:rsidR="00FE1EAE" w:rsidRPr="00FE1EAE">
        <w:rPr>
          <w:rFonts w:ascii="Arial" w:eastAsia="Arial" w:hAnsi="Arial" w:cs="Arial"/>
          <w:b/>
          <w:color w:val="548DD4" w:themeColor="text2" w:themeTint="99"/>
        </w:rPr>
        <w:t>NELSON JAVIER MENDOZA ESTUPIÑÁN</w:t>
      </w:r>
      <w:r w:rsidR="00FE1EAE" w:rsidRPr="00FE1EAE">
        <w:rPr>
          <w:rFonts w:ascii="Arial" w:eastAsia="Arial" w:hAnsi="Arial" w:cs="Arial"/>
          <w:color w:val="548DD4" w:themeColor="text2" w:themeTint="99"/>
        </w:rPr>
        <w:t xml:space="preserve"> </w:t>
      </w:r>
    </w:p>
    <w:p w:rsidR="00DD228D" w:rsidRDefault="00FE1E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13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Fecha:   31</w:t>
      </w:r>
      <w:r w:rsidR="000D68FB">
        <w:rPr>
          <w:rFonts w:ascii="Arial" w:eastAsia="Arial" w:hAnsi="Arial" w:cs="Arial"/>
          <w:color w:val="000000"/>
        </w:rPr>
        <w:t xml:space="preserve"> DE AGOSTO DE 2021</w:t>
      </w:r>
    </w:p>
    <w:p w:rsidR="00DD228D" w:rsidRDefault="000D68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13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Medio de control: NULIDAD Y RESTABLECIMIENTO DEL DERECHO</w:t>
      </w:r>
    </w:p>
    <w:p w:rsidR="00DD228D" w:rsidRDefault="000D68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13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Demand</w:t>
      </w:r>
      <w:r w:rsidR="00FE1EAE">
        <w:rPr>
          <w:rFonts w:ascii="Arial" w:eastAsia="Arial" w:hAnsi="Arial" w:cs="Arial"/>
          <w:color w:val="000000"/>
        </w:rPr>
        <w:t xml:space="preserve">ante: MARÍA AURA CORREDOR </w:t>
      </w:r>
    </w:p>
    <w:p w:rsidR="00DD228D" w:rsidRDefault="000D68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13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Demandado: NACIÓN- MINISTERIO DE EDUCACIÓN NACIONAL- FONDO NACIONAL DE PRESTACIONES SOCIALES DEL MAGISTERIO - FOMAG</w:t>
      </w:r>
    </w:p>
    <w:p w:rsidR="00DD228D" w:rsidRDefault="00DD22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134"/>
        <w:rPr>
          <w:rFonts w:ascii="Arial" w:eastAsia="Arial" w:hAnsi="Arial" w:cs="Arial"/>
          <w:color w:val="000000"/>
        </w:rPr>
      </w:pPr>
    </w:p>
    <w:p w:rsidR="00DD228D" w:rsidRDefault="00DD22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134"/>
        <w:rPr>
          <w:rFonts w:ascii="Arial" w:eastAsia="Arial" w:hAnsi="Arial" w:cs="Arial"/>
          <w:color w:val="000000"/>
        </w:rPr>
      </w:pPr>
    </w:p>
    <w:tbl>
      <w:tblPr>
        <w:tblStyle w:val="a"/>
        <w:tblW w:w="9598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98"/>
      </w:tblGrid>
      <w:tr w:rsidR="00DD228D">
        <w:trPr>
          <w:trHeight w:val="363"/>
        </w:trPr>
        <w:tc>
          <w:tcPr>
            <w:tcW w:w="9598" w:type="dxa"/>
          </w:tcPr>
          <w:p w:rsidR="00DD228D" w:rsidRDefault="000D6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VERIFICACIÓN DE REGLAS PROCESALES PARA EMISIÓN DE SENTENCIA ANTICIPADA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DD228D" w:rsidRDefault="000D6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Verifique que el término de traslado de la demanda se encuentra vencido y que no hay excepciones previas que resolver o no se advierta el incumplimiento de requisitos de procedibilidad.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DD228D" w:rsidRDefault="000D6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(Arts. 172, 175, 199 del CPACA)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DD228D" w:rsidRDefault="000D68FB">
            <w:pPr>
              <w:jc w:val="both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b/>
                <w:i/>
                <w:sz w:val="18"/>
                <w:szCs w:val="18"/>
              </w:rPr>
              <w:t>Nota: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para posibilitar que se pueda proferir sentencia anticipada, es necesario agotar de manera previa varios trámites dispuestos en el artículo 182A, esto es, las medidas que se señalan a continuación</w:t>
            </w:r>
            <w:r>
              <w:rPr>
                <w:rFonts w:ascii="Arial" w:eastAsia="Arial" w:hAnsi="Arial" w:cs="Arial"/>
                <w:i/>
              </w:rPr>
              <w:t xml:space="preserve">. </w:t>
            </w:r>
          </w:p>
          <w:p w:rsidR="000530A7" w:rsidRDefault="000530A7">
            <w:pPr>
              <w:jc w:val="both"/>
              <w:rPr>
                <w:rFonts w:ascii="Arial" w:eastAsia="Arial" w:hAnsi="Arial" w:cs="Arial"/>
                <w:b/>
                <w:color w:val="FF0000"/>
              </w:rPr>
            </w:pPr>
          </w:p>
          <w:p w:rsidR="00DD228D" w:rsidRPr="000530A7" w:rsidRDefault="000D68FB" w:rsidP="000530A7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eastAsia="Arial" w:hAnsi="Arial" w:cs="Arial"/>
                <w:b/>
                <w:i/>
                <w:u w:val="single"/>
              </w:rPr>
            </w:pPr>
            <w:r w:rsidRPr="008E545A">
              <w:rPr>
                <w:rFonts w:ascii="Arial" w:eastAsia="Arial" w:hAnsi="Arial" w:cs="Arial"/>
                <w:b/>
                <w:color w:val="548DD4" w:themeColor="text2" w:themeTint="99"/>
              </w:rPr>
              <w:t>EL TÉRMINO DE TRASLADO DE LA DEMANDA</w:t>
            </w:r>
            <w:r w:rsidR="00FE1EAE" w:rsidRPr="008E545A">
              <w:rPr>
                <w:rFonts w:ascii="Arial" w:eastAsia="Arial" w:hAnsi="Arial" w:cs="Arial"/>
                <w:b/>
                <w:color w:val="548DD4" w:themeColor="text2" w:themeTint="99"/>
              </w:rPr>
              <w:t xml:space="preserve"> SE ENCUENTRA VENCIDO</w:t>
            </w:r>
            <w:r w:rsidRPr="008E545A">
              <w:rPr>
                <w:rFonts w:ascii="Arial" w:eastAsia="Arial" w:hAnsi="Arial" w:cs="Arial"/>
                <w:b/>
                <w:color w:val="548DD4" w:themeColor="text2" w:themeTint="99"/>
              </w:rPr>
              <w:t xml:space="preserve">, </w:t>
            </w:r>
            <w:r w:rsidR="000530A7" w:rsidRPr="008E545A">
              <w:rPr>
                <w:rFonts w:ascii="Arial" w:eastAsia="Arial" w:hAnsi="Arial" w:cs="Arial"/>
                <w:b/>
                <w:color w:val="548DD4" w:themeColor="text2" w:themeTint="99"/>
              </w:rPr>
              <w:t xml:space="preserve">(ii) </w:t>
            </w:r>
            <w:r w:rsidRPr="008E545A">
              <w:rPr>
                <w:rFonts w:ascii="Arial" w:eastAsia="Arial" w:hAnsi="Arial" w:cs="Arial"/>
                <w:b/>
                <w:color w:val="548DD4" w:themeColor="text2" w:themeTint="99"/>
              </w:rPr>
              <w:t xml:space="preserve">YA </w:t>
            </w:r>
            <w:r w:rsidRPr="008E545A">
              <w:rPr>
                <w:rFonts w:ascii="Arial" w:eastAsia="Arial" w:hAnsi="Arial" w:cs="Arial"/>
                <w:b/>
                <w:color w:val="548DD4" w:themeColor="text2" w:themeTint="99"/>
              </w:rPr>
              <w:t xml:space="preserve">SE </w:t>
            </w:r>
            <w:r w:rsidR="00FE1EAE" w:rsidRPr="008E545A">
              <w:rPr>
                <w:rFonts w:ascii="Arial" w:eastAsia="Arial" w:hAnsi="Arial" w:cs="Arial"/>
                <w:b/>
                <w:color w:val="548DD4" w:themeColor="text2" w:themeTint="99"/>
              </w:rPr>
              <w:t>DECIDIERON LAS EXPECIONES PREVIA</w:t>
            </w:r>
            <w:r w:rsidRPr="008E545A">
              <w:rPr>
                <w:rFonts w:ascii="Arial" w:eastAsia="Arial" w:hAnsi="Arial" w:cs="Arial"/>
                <w:b/>
                <w:color w:val="548DD4" w:themeColor="text2" w:themeTint="99"/>
              </w:rPr>
              <w:t>S</w:t>
            </w:r>
            <w:r w:rsidR="00FE1EAE" w:rsidRPr="008E545A">
              <w:rPr>
                <w:rFonts w:ascii="Arial" w:eastAsia="Arial" w:hAnsi="Arial" w:cs="Arial"/>
                <w:b/>
                <w:color w:val="548DD4" w:themeColor="text2" w:themeTint="99"/>
              </w:rPr>
              <w:t xml:space="preserve"> Y </w:t>
            </w:r>
            <w:r w:rsidR="000530A7" w:rsidRPr="008E545A">
              <w:rPr>
                <w:rFonts w:ascii="Arial" w:eastAsia="Arial" w:hAnsi="Arial" w:cs="Arial"/>
                <w:b/>
                <w:color w:val="548DD4" w:themeColor="text2" w:themeTint="99"/>
              </w:rPr>
              <w:t xml:space="preserve">(iii) </w:t>
            </w:r>
            <w:r w:rsidR="00FE1EAE" w:rsidRPr="008E545A">
              <w:rPr>
                <w:rFonts w:ascii="Arial" w:eastAsia="Arial" w:hAnsi="Arial" w:cs="Arial"/>
                <w:b/>
                <w:color w:val="548DD4" w:themeColor="text2" w:themeTint="99"/>
              </w:rPr>
              <w:t xml:space="preserve">ESTÁN SATISFECHOS LOS REQUISITOS DE PROCEDIBILIDAD </w:t>
            </w:r>
            <w:r w:rsidRPr="008E545A">
              <w:rPr>
                <w:rFonts w:ascii="Arial" w:eastAsia="Arial" w:hAnsi="Arial" w:cs="Arial"/>
                <w:b/>
                <w:i/>
                <w:color w:val="548DD4" w:themeColor="text2" w:themeTint="99"/>
                <w:u w:val="single"/>
              </w:rPr>
              <w:t xml:space="preserve"> </w:t>
            </w:r>
          </w:p>
        </w:tc>
      </w:tr>
      <w:tr w:rsidR="00DD228D">
        <w:trPr>
          <w:trHeight w:val="363"/>
        </w:trPr>
        <w:tc>
          <w:tcPr>
            <w:tcW w:w="9598" w:type="dxa"/>
          </w:tcPr>
          <w:p w:rsidR="00DD228D" w:rsidRDefault="000D68F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" w:firstLine="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SENTENCIA ANTICIPADA ANTES DE LA AUDIENCIA INICIAL 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DD228D" w:rsidRDefault="000D6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(Numeral 1° del artículo 182A del CPACA)</w:t>
            </w:r>
          </w:p>
          <w:p w:rsidR="00DD228D" w:rsidRDefault="000D6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3484880</wp:posOffset>
                      </wp:positionH>
                      <wp:positionV relativeFrom="paragraph">
                        <wp:posOffset>147954</wp:posOffset>
                      </wp:positionV>
                      <wp:extent cx="323850" cy="276225"/>
                      <wp:effectExtent l="0" t="0" r="19050" b="2857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3055D" w:rsidRPr="00C70E9A" w:rsidRDefault="000D68FB" w:rsidP="0033055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548DD4" w:themeColor="text2" w:themeTint="99"/>
                                    </w:rPr>
                                  </w:pPr>
                                  <w:r w:rsidRPr="00C70E9A">
                                    <w:rPr>
                                      <w:b/>
                                      <w:bCs/>
                                      <w:color w:val="548DD4" w:themeColor="text2" w:themeTint="99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ángulo 1" o:spid="_x0000_s1026" style="position:absolute;margin-left:274.4pt;margin-top:11.65pt;width:25.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" fillcolor="white [3201]" strokecolor="#f79646 [3209]" strokeweight="2pt">
                      <v:textbox>
                        <w:txbxContent>
                          <w:p w:rsidR="0033055D" w:rsidRPr="00C70E9A" w:rsidRDefault="000D68FB" w:rsidP="0033055D">
                            <w:pPr>
                              <w:jc w:val="center"/>
                              <w:rPr>
                                <w:b/>
                                <w:bCs/>
                                <w:color w:val="548DD4" w:themeColor="text2" w:themeTint="99"/>
                              </w:rPr>
                            </w:pPr>
                            <w:r w:rsidRPr="00C70E9A">
                              <w:rPr>
                                <w:b/>
                                <w:bCs/>
                                <w:color w:val="548DD4" w:themeColor="text2" w:themeTint="99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D228D" w:rsidRDefault="000D6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jc w:val="both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a</w:t>
            </w:r>
            <w:r>
              <w:rPr>
                <w:rFonts w:ascii="Arial" w:eastAsia="Arial" w:hAnsi="Arial" w:cs="Arial"/>
                <w:i/>
                <w:color w:val="000000"/>
              </w:rPr>
              <w:t>) Cuando se trate de asuntos de puro derecho;  </w:t>
            </w:r>
          </w:p>
          <w:p w:rsidR="00DD228D" w:rsidRDefault="000D6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3122929</wp:posOffset>
                      </wp:positionH>
                      <wp:positionV relativeFrom="paragraph">
                        <wp:posOffset>149225</wp:posOffset>
                      </wp:positionV>
                      <wp:extent cx="295275" cy="323850"/>
                      <wp:effectExtent l="0" t="0" r="28575" b="1905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238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6C50" w:rsidRPr="00C70E9A" w:rsidRDefault="000D68FB" w:rsidP="00976C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548DD4" w:themeColor="text2" w:themeTint="99"/>
                                    </w:rPr>
                                  </w:pPr>
                                  <w:r w:rsidRPr="00C70E9A">
                                    <w:rPr>
                                      <w:b/>
                                      <w:bCs/>
                                      <w:color w:val="548DD4" w:themeColor="text2" w:themeTint="99"/>
                                    </w:rPr>
                                    <w:t>X</w:t>
                                  </w:r>
                                </w:p>
                                <w:p w:rsidR="00976C50" w:rsidRDefault="000D68FB" w:rsidP="00976C5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ángulo 2" o:spid="_x0000_s1027" style="position:absolute;left:0;text-align:left;margin-left:245.9pt;margin-top:11.75pt;width:23.25pt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" fillcolor="white [3201]" strokecolor="#f79646 [3209]" strokeweight="2pt">
                      <v:textbox>
                        <w:txbxContent>
                          <w:p w:rsidR="00976C50" w:rsidRPr="00C70E9A" w:rsidRDefault="000D68FB" w:rsidP="00976C50">
                            <w:pPr>
                              <w:jc w:val="center"/>
                              <w:rPr>
                                <w:b/>
                                <w:bCs/>
                                <w:color w:val="548DD4" w:themeColor="text2" w:themeTint="99"/>
                              </w:rPr>
                            </w:pPr>
                            <w:r w:rsidRPr="00C70E9A">
                              <w:rPr>
                                <w:b/>
                                <w:bCs/>
                                <w:color w:val="548DD4" w:themeColor="text2" w:themeTint="99"/>
                              </w:rPr>
                              <w:t>X</w:t>
                            </w:r>
                          </w:p>
                          <w:p w:rsidR="00976C50" w:rsidRDefault="000D68FB" w:rsidP="00976C5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D228D" w:rsidRDefault="000D6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jc w:val="both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b)</w:t>
            </w:r>
            <w:r>
              <w:rPr>
                <w:rFonts w:ascii="Arial" w:eastAsia="Arial" w:hAnsi="Arial" w:cs="Arial"/>
                <w:i/>
                <w:color w:val="000000"/>
              </w:rPr>
              <w:t xml:space="preserve"> Cuando no haya que practicar pruebas;  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jc w:val="both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:rsidR="00DD228D" w:rsidRDefault="00C70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8"/>
              <w:jc w:val="both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14A3671F" wp14:editId="5BB7D7BE">
                      <wp:simplePos x="0" y="0"/>
                      <wp:positionH relativeFrom="column">
                        <wp:posOffset>1609449</wp:posOffset>
                      </wp:positionH>
                      <wp:positionV relativeFrom="paragraph">
                        <wp:posOffset>326390</wp:posOffset>
                      </wp:positionV>
                      <wp:extent cx="294198" cy="285750"/>
                      <wp:effectExtent l="0" t="0" r="10795" b="1905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198" cy="2857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6C50" w:rsidRPr="00C70E9A" w:rsidRDefault="000D68FB" w:rsidP="00976C5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548DD4" w:themeColor="text2" w:themeTint="99"/>
                                    </w:rPr>
                                  </w:pPr>
                                  <w:r w:rsidRPr="00C70E9A">
                                    <w:rPr>
                                      <w:b/>
                                      <w:bCs/>
                                      <w:color w:val="548DD4" w:themeColor="text2" w:themeTint="99"/>
                                    </w:rPr>
                                    <w:t>X</w:t>
                                  </w:r>
                                </w:p>
                                <w:p w:rsidR="00976C50" w:rsidRDefault="000D68FB" w:rsidP="00976C5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4A3671F" id="Rectángulo 4" o:spid="_x0000_s1028" style="position:absolute;left:0;text-align:left;margin-left:126.75pt;margin-top:25.7pt;width:23.15pt;height:22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" fillcolor="white [3201]" strokecolor="#f79646 [3209]" strokeweight="2pt">
                      <v:textbox>
                        <w:txbxContent>
                          <w:p w:rsidR="00976C50" w:rsidRPr="00C70E9A" w:rsidRDefault="000D68FB" w:rsidP="00976C50">
                            <w:pPr>
                              <w:jc w:val="center"/>
                              <w:rPr>
                                <w:b/>
                                <w:bCs/>
                                <w:color w:val="548DD4" w:themeColor="text2" w:themeTint="99"/>
                              </w:rPr>
                            </w:pPr>
                            <w:r w:rsidRPr="00C70E9A">
                              <w:rPr>
                                <w:b/>
                                <w:bCs/>
                                <w:color w:val="548DD4" w:themeColor="text2" w:themeTint="99"/>
                              </w:rPr>
                              <w:t>X</w:t>
                            </w:r>
                          </w:p>
                          <w:p w:rsidR="00976C50" w:rsidRDefault="000D68FB" w:rsidP="00976C5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D68FB">
              <w:rPr>
                <w:rFonts w:ascii="Arial" w:eastAsia="Arial" w:hAnsi="Arial" w:cs="Arial"/>
                <w:b/>
                <w:i/>
                <w:color w:val="000000"/>
              </w:rPr>
              <w:t>c)</w:t>
            </w:r>
            <w:r w:rsidR="000D68FB">
              <w:rPr>
                <w:rFonts w:ascii="Arial" w:eastAsia="Arial" w:hAnsi="Arial" w:cs="Arial"/>
                <w:i/>
                <w:color w:val="000000"/>
              </w:rPr>
              <w:t xml:space="preserve"> Cuando solo se solicite tener como pruebas las documentales aportadas con la demanda y la contestación, y sobre ellas no se hubiese formulado tacha o desconocimiento;  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b/>
                <w:i/>
                <w:color w:val="000000"/>
              </w:rPr>
            </w:pPr>
          </w:p>
          <w:p w:rsidR="00DD228D" w:rsidRDefault="000D6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d)</w:t>
            </w:r>
            <w:r>
              <w:rPr>
                <w:rFonts w:ascii="Arial" w:eastAsia="Arial" w:hAnsi="Arial" w:cs="Arial"/>
                <w:i/>
                <w:color w:val="000000"/>
              </w:rPr>
              <w:t xml:space="preserve"> Cuando las pruebas solicitada</w:t>
            </w:r>
            <w:bookmarkStart w:id="1" w:name="_GoBack"/>
            <w:bookmarkEnd w:id="1"/>
            <w:r>
              <w:rPr>
                <w:rFonts w:ascii="Arial" w:eastAsia="Arial" w:hAnsi="Arial" w:cs="Arial"/>
                <w:i/>
                <w:color w:val="000000"/>
              </w:rPr>
              <w:t>s por las partes sean impertinentes, inconducentes o inútiles.</w: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>
                      <wp:simplePos x="0" y="0"/>
                      <wp:positionH relativeFrom="column">
                        <wp:posOffset>1021374</wp:posOffset>
                      </wp:positionH>
                      <wp:positionV relativeFrom="paragraph">
                        <wp:posOffset>176073</wp:posOffset>
                      </wp:positionV>
                      <wp:extent cx="250441" cy="180550"/>
                      <wp:effectExtent l="0" t="0" r="16510" b="1016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1021374</wp:posOffset>
                      </wp:positionH>
                      <wp:positionV relativeFrom="paragraph">
                        <wp:posOffset>176073</wp:posOffset>
                      </wp:positionV>
                      <wp:extent cx="266951" cy="190710"/>
                      <wp:effectExtent b="0" l="0" r="0" t="0"/>
                      <wp:wrapNone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0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6951" cy="19071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DD228D" w:rsidRDefault="000D6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 xml:space="preserve">Cuando se verifique que procede la sentencia anticipada por alguno de los casos antes descritos, el juez o magistrado ponente debe: 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DD228D" w:rsidRDefault="000D68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Proferir auto donde debe pronunciarse sobre las pruebas cuando a ello hubiere lugar, aplicando el artículo 173 del CGP. </w:t>
            </w:r>
          </w:p>
          <w:p w:rsidR="00DD228D" w:rsidRDefault="000D68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En la misma providencia debe fijar el litigio u objeto de la controversia. 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DD228D" w:rsidRDefault="000D6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En firme las decisiones antes señaladas, se debe: 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DD228D" w:rsidRDefault="000D68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Correr</w:t>
            </w:r>
            <w:r>
              <w:rPr>
                <w:rFonts w:ascii="Arial" w:eastAsia="Arial" w:hAnsi="Arial" w:cs="Arial"/>
                <w:color w:val="000000"/>
              </w:rPr>
              <w:t xml:space="preserve"> traslado para alegar de conclusión en la forma prevista en el inciso final del artículo 181 del CPACA, y, 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DD228D" w:rsidRDefault="000D68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En la providencia que así lo ordene, se debe indicar la razón, o razones, por la cual se dictará sentencia anticipada, la cual se expedirá por escr</w:t>
            </w:r>
            <w:r>
              <w:rPr>
                <w:rFonts w:ascii="Arial" w:eastAsia="Arial" w:hAnsi="Arial" w:cs="Arial"/>
                <w:color w:val="000000"/>
              </w:rPr>
              <w:t xml:space="preserve">ito posteriormente.  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DD228D" w:rsidRDefault="000D68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Luego de desarrollar el trámite anterior, no obstante estar cumplido los presupuestos para dictar sentencia anticipada con base en el numeral 1° del artículo 182A del CPACA, si el juez o magistrado ponente considera necesario realizar la audiencia inicial </w:t>
            </w:r>
            <w:r>
              <w:rPr>
                <w:rFonts w:ascii="Arial" w:eastAsia="Arial" w:hAnsi="Arial" w:cs="Arial"/>
                <w:color w:val="000000"/>
              </w:rPr>
              <w:t>podrá hacerlo, para lo cual se aplicará lo dispuesto en los artículos 179 y 180 del CPACA.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DD228D" w:rsidRDefault="000D6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  <w:t xml:space="preserve">Nota: </w:t>
            </w:r>
          </w:p>
          <w:p w:rsidR="00DD228D" w:rsidRDefault="000D68FB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El traslado para alegar puede disponerse en una providencia posterior y diferente de la que se pronuncia sobre las pruebas y fija el litigio, o también puede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decretarse en esta última, ordenándole a la respectiva Secretaría que una vez en firme el pronunciamiento sobre las pruebas y la fijación del litigio, porque no se presentaron recursos, sin necesidad de una nueva providencia, corra a las partes el respect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ivo traslado para alegar. (Ver providencia de la Sección Segunda – subsección B del Consejo de Estado. Consejera Ponente: Sandra Lisset Ibarra Vélez. veintiuno (21) de junio de dos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mil veintiuno (2021). Referencia del expediente: 11001032500020180079100 (3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026-2018). </w:t>
            </w:r>
          </w:p>
          <w:p w:rsidR="008E545A" w:rsidRDefault="008E545A">
            <w:pPr>
              <w:jc w:val="both"/>
              <w:rPr>
                <w:rFonts w:ascii="Arial" w:eastAsia="Arial" w:hAnsi="Arial" w:cs="Arial"/>
                <w:b/>
                <w:i/>
                <w:color w:val="FF0000"/>
                <w:u w:val="single"/>
              </w:rPr>
            </w:pPr>
          </w:p>
          <w:p w:rsidR="008E545A" w:rsidRPr="00D44815" w:rsidRDefault="008E545A">
            <w:pPr>
              <w:jc w:val="both"/>
              <w:rPr>
                <w:rFonts w:ascii="Arial" w:eastAsia="Arial" w:hAnsi="Arial" w:cs="Arial"/>
                <w:b/>
                <w:color w:val="548DD4" w:themeColor="text2" w:themeTint="99"/>
              </w:rPr>
            </w:pPr>
          </w:p>
          <w:p w:rsidR="00DD228D" w:rsidRPr="00D44815" w:rsidRDefault="000D68FB">
            <w:pPr>
              <w:jc w:val="both"/>
              <w:rPr>
                <w:rFonts w:ascii="Arial" w:eastAsia="Arial" w:hAnsi="Arial" w:cs="Arial"/>
                <w:b/>
                <w:color w:val="548DD4" w:themeColor="text2" w:themeTint="99"/>
              </w:rPr>
            </w:pPr>
            <w:r w:rsidRPr="00D44815">
              <w:rPr>
                <w:rFonts w:ascii="Arial" w:eastAsia="Arial" w:hAnsi="Arial" w:cs="Arial"/>
                <w:b/>
                <w:color w:val="548DD4" w:themeColor="text2" w:themeTint="99"/>
              </w:rPr>
              <w:t>LAS EX</w:t>
            </w:r>
            <w:r w:rsidR="00D44815" w:rsidRPr="00D44815">
              <w:rPr>
                <w:rFonts w:ascii="Arial" w:eastAsia="Arial" w:hAnsi="Arial" w:cs="Arial"/>
                <w:b/>
                <w:color w:val="548DD4" w:themeColor="text2" w:themeTint="99"/>
              </w:rPr>
              <w:t>CEP</w:t>
            </w:r>
            <w:r w:rsidRPr="00D44815">
              <w:rPr>
                <w:rFonts w:ascii="Arial" w:eastAsia="Arial" w:hAnsi="Arial" w:cs="Arial"/>
                <w:b/>
                <w:color w:val="548DD4" w:themeColor="text2" w:themeTint="99"/>
              </w:rPr>
              <w:t>CIONES</w:t>
            </w:r>
            <w:r w:rsidR="008E545A" w:rsidRPr="00D44815">
              <w:rPr>
                <w:rFonts w:ascii="Arial" w:eastAsia="Arial" w:hAnsi="Arial" w:cs="Arial"/>
                <w:b/>
                <w:color w:val="548DD4" w:themeColor="text2" w:themeTint="99"/>
              </w:rPr>
              <w:t xml:space="preserve"> PREVIAS FUERON DECIDIDAS</w:t>
            </w:r>
            <w:r w:rsidRPr="00D44815">
              <w:rPr>
                <w:rFonts w:ascii="Arial" w:eastAsia="Arial" w:hAnsi="Arial" w:cs="Arial"/>
                <w:b/>
                <w:color w:val="548DD4" w:themeColor="text2" w:themeTint="99"/>
              </w:rPr>
              <w:t xml:space="preserve">, </w:t>
            </w:r>
            <w:r w:rsidR="008E545A" w:rsidRPr="00D44815">
              <w:rPr>
                <w:rFonts w:ascii="Arial" w:eastAsia="Arial" w:hAnsi="Arial" w:cs="Arial"/>
                <w:b/>
                <w:color w:val="548DD4" w:themeColor="text2" w:themeTint="99"/>
              </w:rPr>
              <w:t>INEXISTENCIA DE</w:t>
            </w:r>
            <w:r w:rsidRPr="00D44815">
              <w:rPr>
                <w:rFonts w:ascii="Arial" w:eastAsia="Arial" w:hAnsi="Arial" w:cs="Arial"/>
                <w:b/>
                <w:color w:val="548DD4" w:themeColor="text2" w:themeTint="99"/>
              </w:rPr>
              <w:t xml:space="preserve"> PRUEBAS QUE </w:t>
            </w:r>
            <w:r w:rsidR="008E545A" w:rsidRPr="00D44815">
              <w:rPr>
                <w:rFonts w:ascii="Arial" w:eastAsia="Arial" w:hAnsi="Arial" w:cs="Arial"/>
                <w:b/>
                <w:color w:val="548DD4" w:themeColor="text2" w:themeTint="99"/>
              </w:rPr>
              <w:t>PRACTICAR Y SE ALLEGÓ EXPEDIENTE ADMINISTRATIVO DE LOS ACTOS ACUSADOS</w:t>
            </w:r>
            <w:r w:rsidR="00DC6D44" w:rsidRPr="00D44815">
              <w:rPr>
                <w:rFonts w:ascii="Arial" w:eastAsia="Arial" w:hAnsi="Arial" w:cs="Arial"/>
                <w:b/>
                <w:color w:val="548DD4" w:themeColor="text2" w:themeTint="99"/>
              </w:rPr>
              <w:t>, SE INDICÓ QUE LA CAUSA PARA DICTAR SENTENCIA ANTICIPADA ES QUE SE TRATA D</w:t>
            </w:r>
            <w:r w:rsidR="00D44815" w:rsidRPr="00D44815">
              <w:rPr>
                <w:rFonts w:ascii="Arial" w:eastAsia="Arial" w:hAnsi="Arial" w:cs="Arial"/>
                <w:b/>
                <w:color w:val="548DD4" w:themeColor="text2" w:themeTint="99"/>
              </w:rPr>
              <w:t>E UN ASUNTO DE PU</w:t>
            </w:r>
            <w:r w:rsidR="00D44815">
              <w:rPr>
                <w:rFonts w:ascii="Arial" w:eastAsia="Arial" w:hAnsi="Arial" w:cs="Arial"/>
                <w:b/>
                <w:color w:val="548DD4" w:themeColor="text2" w:themeTint="99"/>
              </w:rPr>
              <w:t>RO DERECHO Y NO HAY PRUEBAS POR PRACTICAR</w:t>
            </w:r>
            <w:r w:rsidR="00D44815" w:rsidRPr="00D44815">
              <w:rPr>
                <w:rFonts w:ascii="Arial" w:eastAsia="Arial" w:hAnsi="Arial" w:cs="Arial"/>
                <w:b/>
                <w:color w:val="548DD4" w:themeColor="text2" w:themeTint="99"/>
              </w:rPr>
              <w:t xml:space="preserve"> SE</w:t>
            </w:r>
            <w:r w:rsidR="00DC6D44" w:rsidRPr="00D44815">
              <w:rPr>
                <w:rFonts w:ascii="Arial" w:eastAsia="Arial" w:hAnsi="Arial" w:cs="Arial"/>
                <w:b/>
                <w:color w:val="548DD4" w:themeColor="text2" w:themeTint="99"/>
              </w:rPr>
              <w:t xml:space="preserve"> PROCEDIÓ</w:t>
            </w:r>
            <w:r w:rsidR="00D44815">
              <w:rPr>
                <w:rFonts w:ascii="Arial" w:eastAsia="Arial" w:hAnsi="Arial" w:cs="Arial"/>
                <w:b/>
                <w:color w:val="548DD4" w:themeColor="text2" w:themeTint="99"/>
              </w:rPr>
              <w:t xml:space="preserve"> A ORDENAR QUE UNA VEZ EJECUTORIADA</w:t>
            </w:r>
            <w:r w:rsidRPr="00D44815">
              <w:rPr>
                <w:rFonts w:ascii="Arial" w:eastAsia="Arial" w:hAnsi="Arial" w:cs="Arial"/>
                <w:b/>
                <w:color w:val="548DD4" w:themeColor="text2" w:themeTint="99"/>
              </w:rPr>
              <w:t xml:space="preserve"> LA DECISIÓN DE IN</w:t>
            </w:r>
            <w:r w:rsidR="00D44815">
              <w:rPr>
                <w:rFonts w:ascii="Arial" w:eastAsia="Arial" w:hAnsi="Arial" w:cs="Arial"/>
                <w:b/>
                <w:color w:val="548DD4" w:themeColor="text2" w:themeTint="99"/>
              </w:rPr>
              <w:t xml:space="preserve">CORPORACION DE PRUEBAS, SE CORRIERA POR SECRETARÍA TRASLADO PARA QUE LAS PARTES PRESENTARAN ALEGATOS DE CONCLUSIÓN. </w:t>
            </w:r>
          </w:p>
          <w:p w:rsidR="00DD228D" w:rsidRDefault="00DD228D">
            <w:pPr>
              <w:jc w:val="both"/>
              <w:rPr>
                <w:rFonts w:ascii="Arial" w:eastAsia="Arial" w:hAnsi="Arial" w:cs="Arial"/>
                <w:b/>
                <w:i/>
                <w:sz w:val="18"/>
                <w:szCs w:val="18"/>
                <w:u w:val="single"/>
              </w:rPr>
            </w:pPr>
          </w:p>
        </w:tc>
      </w:tr>
      <w:tr w:rsidR="00DD228D">
        <w:trPr>
          <w:trHeight w:val="363"/>
        </w:trPr>
        <w:tc>
          <w:tcPr>
            <w:tcW w:w="9598" w:type="dxa"/>
          </w:tcPr>
          <w:p w:rsidR="00DD228D" w:rsidRDefault="000D68F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SENTENCIA ANTICIPADA EN CUALQUIER ESTADO DEL PROCESO, CUANDO LAS PARTES O SUS APODERADOS DE COMÚN ACUERDO LO SOLICITEN, SEA POR INICIATIVA PROPIA O POR SUGERENCIA DEL JUEZ 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:rsidR="00DD228D" w:rsidRDefault="000D6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(Numeral 2° del artículo 182A del CPACA)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DD228D" w:rsidRDefault="000D6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Analizar las siguientes situaciones y p</w:t>
            </w:r>
            <w:r>
              <w:rPr>
                <w:rFonts w:ascii="Arial" w:eastAsia="Arial" w:hAnsi="Arial" w:cs="Arial"/>
                <w:color w:val="000000"/>
              </w:rPr>
              <w:t xml:space="preserve">roferir las decisiones que corresponde así: 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DD228D" w:rsidRDefault="000D68F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Si en el proceso intervienen litisconsortes necesarios, la petición deberá realizarse conjuntamente con estos;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DD228D" w:rsidRDefault="000D68F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Si la solicitud se presenta en el transcurso de una audiencia, se dará traslado para alegar dentro de ella y, surtido el traslado para alegar, se proferirá sentencia oral o escrita;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DD228D" w:rsidRDefault="000D68F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Si la solicitud se hace por escrito, las partes podrán allegar con la pet</w:t>
            </w:r>
            <w:r>
              <w:rPr>
                <w:rFonts w:ascii="Arial" w:eastAsia="Arial" w:hAnsi="Arial" w:cs="Arial"/>
                <w:color w:val="000000"/>
              </w:rPr>
              <w:t>ición de emisión de sentencia anticipada, sus alegatos de conclusión, de lo cual, se dará traslado por diez días comunes al Ministerio Público y demás intervinientes, a través de providencia escrita en la que se acepte la petición proveniente de las partes</w:t>
            </w:r>
            <w:r>
              <w:rPr>
                <w:rFonts w:ascii="Arial" w:eastAsia="Arial" w:hAnsi="Arial" w:cs="Arial"/>
                <w:color w:val="000000"/>
              </w:rPr>
              <w:t xml:space="preserve"> de proferir sentencia anticipada;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DD228D" w:rsidRDefault="000D68F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 la aceptación de esta petición por parte del juzgador, se entenderán desistidos los recursos que hubieren formulado los peticionarios contra decisiones interlocutorias que estén pendientes de tramitar o resolver; y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rFonts w:ascii="Arial" w:eastAsia="Arial" w:hAnsi="Arial" w:cs="Arial"/>
                <w:color w:val="000000"/>
              </w:rPr>
            </w:pPr>
          </w:p>
          <w:p w:rsidR="00DD228D" w:rsidRDefault="000D68F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El juzgador rechazará la solicitud cuando advierta fraude o colusión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</w:p>
        </w:tc>
      </w:tr>
      <w:tr w:rsidR="00DD228D">
        <w:trPr>
          <w:trHeight w:val="363"/>
        </w:trPr>
        <w:tc>
          <w:tcPr>
            <w:tcW w:w="9598" w:type="dxa"/>
          </w:tcPr>
          <w:p w:rsidR="00DD228D" w:rsidRDefault="000D68F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EN CUALQUIER ESTADO DEL PROCESO, CUANDO EL JUZGADOR ENCUENTRE PROBADA LA COSA JUZGADA, LA CADUCIDAD, LA TRANSACCIÓN, LA CONCILIACIÓN, LA FALTA MANIFIESTA DE LEGITIMACIÓN EN LA CAUSA Y LA PRESCRIPCIÓN EXTINTIVA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DD228D" w:rsidRDefault="000D6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(Numeral 3° del artículo 182A del CPACA)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DD228D" w:rsidRDefault="000D6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En estos eventos se debe proceder de la siguiente manera: 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DD228D" w:rsidRDefault="000D68F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Se correrá traslado para alegar, y en la providencia que así lo ordene, el juzgador precisará sobre cuál o cuáles de las excepciones se pronunciará; y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DD228D" w:rsidRDefault="000D68F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Escuchados o revisados los alegatos se proferirá sentencia anticipada, pero también se podrá reconsiderar la decisión de proferir sentencia de manera anticipada, y, en consecuencia, se continuará el trámite normal del proceso.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DD228D" w:rsidRDefault="000D6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Nota: en el caso de la trans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acción, enlistada en el tercer evento en el que se puede dictar sentencia anticipada, se procederá en la manera que a continuación se describe</w:t>
            </w:r>
            <w:r>
              <w:rPr>
                <w:rFonts w:ascii="Arial" w:eastAsia="Arial" w:hAnsi="Arial" w:cs="Arial"/>
                <w:color w:val="000000"/>
              </w:rPr>
              <w:t xml:space="preserve">. </w:t>
            </w:r>
          </w:p>
        </w:tc>
      </w:tr>
      <w:tr w:rsidR="00DD228D">
        <w:trPr>
          <w:trHeight w:val="363"/>
        </w:trPr>
        <w:tc>
          <w:tcPr>
            <w:tcW w:w="9598" w:type="dxa"/>
          </w:tcPr>
          <w:p w:rsidR="00DD228D" w:rsidRDefault="000D68F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EN CASO DE ALLANAMIENTO O TRANSACCIÓN 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DD228D" w:rsidRDefault="000D6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(Numeral 4° del artículo 182A del CPACA)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DD228D" w:rsidRDefault="000D68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En estos casos, el trámite será el siguiente: 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DD228D" w:rsidRDefault="000D68F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Se dictará sentencia anticipada de manera inmediata, en aplicación del artículo 176 del CPACA; pero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DD228D" w:rsidRDefault="000D68F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El juzgador podrá rechazar el allanamiento o la transacción, y decretar pruebas de oficio, cuando advierta fraude o colusión o lo pida un tercero que intervenga en el proceso, también en aplicación del artículo 176 del CPACA; y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DD228D" w:rsidRPr="00C70E9A" w:rsidRDefault="000D68FB" w:rsidP="00FA33C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 w:rsidRPr="00C70E9A">
              <w:rPr>
                <w:rFonts w:ascii="Arial" w:eastAsia="Arial" w:hAnsi="Arial" w:cs="Arial"/>
                <w:color w:val="000000"/>
              </w:rPr>
              <w:t>Cumplido lo anterior, el ju</w:t>
            </w:r>
            <w:r w:rsidRPr="00C70E9A">
              <w:rPr>
                <w:rFonts w:ascii="Arial" w:eastAsia="Arial" w:hAnsi="Arial" w:cs="Arial"/>
                <w:color w:val="000000"/>
              </w:rPr>
              <w:t xml:space="preserve">zgador podrá proferir sentencia anticipada inmediatamente </w:t>
            </w:r>
            <w:r w:rsidRPr="00C70E9A">
              <w:rPr>
                <w:rFonts w:ascii="Arial" w:eastAsia="Arial" w:hAnsi="Arial" w:cs="Arial"/>
                <w:i/>
                <w:color w:val="000000"/>
              </w:rPr>
              <w:t>-si ha desaparecido la sospecha de fraude o colusión-</w:t>
            </w:r>
            <w:r w:rsidRPr="00C70E9A">
              <w:rPr>
                <w:rFonts w:ascii="Arial" w:eastAsia="Arial" w:hAnsi="Arial" w:cs="Arial"/>
                <w:color w:val="000000"/>
              </w:rPr>
              <w:t>, o continuará el trámite normal del proceso.</w:t>
            </w:r>
          </w:p>
          <w:p w:rsidR="00DD228D" w:rsidRDefault="00DD22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DD228D" w:rsidRDefault="00DD22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134"/>
        <w:rPr>
          <w:rFonts w:ascii="Arial" w:eastAsia="Arial" w:hAnsi="Arial" w:cs="Arial"/>
          <w:color w:val="000000"/>
        </w:rPr>
      </w:pPr>
    </w:p>
    <w:p w:rsidR="00DD228D" w:rsidRDefault="00DD228D">
      <w:pPr>
        <w:rPr>
          <w:rFonts w:ascii="Arial" w:eastAsia="Arial" w:hAnsi="Arial" w:cs="Arial"/>
        </w:rPr>
      </w:pPr>
    </w:p>
    <w:p w:rsidR="00DD228D" w:rsidRDefault="00DD22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228D" w:rsidRDefault="00DD228D">
      <w:pPr>
        <w:rPr>
          <w:rFonts w:ascii="Arial" w:eastAsia="Arial" w:hAnsi="Arial" w:cs="Arial"/>
        </w:rPr>
      </w:pPr>
    </w:p>
    <w:sectPr w:rsidR="00DD228D">
      <w:footerReference w:type="default" r:id="rId11"/>
      <w:footerReference w:type="first" r:id="rId12"/>
      <w:pgSz w:w="12240" w:h="15840"/>
      <w:pgMar w:top="1418" w:right="2268" w:bottom="1702" w:left="226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8FB" w:rsidRDefault="000D68FB">
      <w:pPr>
        <w:spacing w:after="0" w:line="240" w:lineRule="auto"/>
      </w:pPr>
      <w:r>
        <w:separator/>
      </w:r>
    </w:p>
  </w:endnote>
  <w:endnote w:type="continuationSeparator" w:id="0">
    <w:p w:rsidR="000D68FB" w:rsidRDefault="000D6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28D" w:rsidRDefault="000D68F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FE1EAE">
      <w:rPr>
        <w:color w:val="000000"/>
      </w:rPr>
      <w:fldChar w:fldCharType="separate"/>
    </w:r>
    <w:r w:rsidR="00C70E9A">
      <w:rPr>
        <w:noProof/>
        <w:color w:val="000000"/>
      </w:rPr>
      <w:t>2</w:t>
    </w:r>
    <w:r>
      <w:rPr>
        <w:color w:val="000000"/>
      </w:rPr>
      <w:fldChar w:fldCharType="end"/>
    </w:r>
  </w:p>
  <w:p w:rsidR="00DD228D" w:rsidRDefault="00DD228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28D" w:rsidRDefault="000D68F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FE1EAE">
      <w:rPr>
        <w:color w:val="000000"/>
      </w:rPr>
      <w:fldChar w:fldCharType="separate"/>
    </w:r>
    <w:r w:rsidR="00C70E9A">
      <w:rPr>
        <w:noProof/>
        <w:color w:val="000000"/>
      </w:rPr>
      <w:t>1</w:t>
    </w:r>
    <w:r>
      <w:rPr>
        <w:color w:val="000000"/>
      </w:rPr>
      <w:fldChar w:fldCharType="end"/>
    </w:r>
  </w:p>
  <w:p w:rsidR="00DD228D" w:rsidRDefault="00DD228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8FB" w:rsidRDefault="000D68FB">
      <w:pPr>
        <w:spacing w:after="0" w:line="240" w:lineRule="auto"/>
      </w:pPr>
      <w:r>
        <w:separator/>
      </w:r>
    </w:p>
  </w:footnote>
  <w:footnote w:type="continuationSeparator" w:id="0">
    <w:p w:rsidR="000D68FB" w:rsidRDefault="000D6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22FA7"/>
    <w:multiLevelType w:val="multilevel"/>
    <w:tmpl w:val="B15CA17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00CEC"/>
    <w:multiLevelType w:val="hybridMultilevel"/>
    <w:tmpl w:val="ADF2C306"/>
    <w:lvl w:ilvl="0" w:tplc="6A5A7EC8">
      <w:start w:val="1"/>
      <w:numFmt w:val="lowerRoman"/>
      <w:lvlText w:val="(%1)"/>
      <w:lvlJc w:val="left"/>
      <w:pPr>
        <w:ind w:left="1080" w:hanging="720"/>
      </w:pPr>
      <w:rPr>
        <w:rFonts w:hint="default"/>
        <w:i w:val="0"/>
        <w:color w:val="548DD4" w:themeColor="text2" w:themeTint="99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A469D6"/>
    <w:multiLevelType w:val="multilevel"/>
    <w:tmpl w:val="E3FCD87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64BB18C6"/>
    <w:multiLevelType w:val="multilevel"/>
    <w:tmpl w:val="477CDA68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7EE6984"/>
    <w:multiLevelType w:val="multilevel"/>
    <w:tmpl w:val="7A26922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2088A"/>
    <w:multiLevelType w:val="multilevel"/>
    <w:tmpl w:val="B06A7F4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28D"/>
    <w:rsid w:val="000530A7"/>
    <w:rsid w:val="000D68FB"/>
    <w:rsid w:val="008E545A"/>
    <w:rsid w:val="00C70E9A"/>
    <w:rsid w:val="00D44815"/>
    <w:rsid w:val="00DC6D44"/>
    <w:rsid w:val="00DD228D"/>
    <w:rsid w:val="00FE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2A0ED"/>
  <w15:docId w15:val="{A3AEE0D0-29BF-402C-9541-D7CEBD78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053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2021-09-01T04:40:00Z</dcterms:created>
  <dcterms:modified xsi:type="dcterms:W3CDTF">2021-09-01T04:40:00Z</dcterms:modified>
</cp:coreProperties>
</file>